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 ContentType="application/vnd.openxmlformats-package.core-propertie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p14="http://schemas.microsoft.com/office/word/2010/wordprocessingDrawing" xmlns:wpi="http://schemas.microsoft.com/office/word/2010/wordprocessingInk" xmlns:aink="http://schemas.microsoft.com/office/drawing/2016/ink">
  <w:body>
    <w:p w14:paraId="00000001">
      <w:pPr>
        <w:pStyle w:val="Title"/>
        <w:ind w:left="1" w:hanging="3"/>
        <w:rPr>
          <w:rFonts w:ascii="Times New Roman" w:cs="Times New Roman" w:hAnsi="Times New Roman"/>
          <w:sz w:val="26"/>
          <w:szCs w:val="26"/>
        </w:rPr>
      </w:pPr>
    </w:p>
    <w:p w14:paraId="00000002">
      <w:pPr>
        <w:pStyle w:val="Title"/>
        <w:ind w:left="0" w:hanging="2"/>
        <w:rPr>
          <w:rFonts w:ascii="Times New Roman" w:cs="Times New Roman" w:hAnsi="Times New Roman"/>
          <w:sz w:val="23"/>
          <w:szCs w:val="23"/>
        </w:rPr>
      </w:pPr>
    </w:p>
    <w:p w14:paraId="00000003">
      <w:pPr>
        <w:pStyle w:val="Title"/>
        <w:ind w:left="0" w:hanging="2"/>
        <w:rPr>
          <w:rFonts w:ascii="Times New Roman" w:cs="Times New Roman" w:hAnsi="Times New Roman"/>
          <w:sz w:val="24"/>
          <w:szCs w:val="24"/>
        </w:rPr>
      </w:pPr>
      <w:r>
        <w:rPr>
          <w:rFonts w:ascii="Times New Roman" w:cs="Times New Roman" w:hAnsi="Times New Roman"/>
          <w:sz w:val="24"/>
          <w:szCs w:val="24"/>
          <w:rtl w:val="off"/>
        </w:rPr>
        <w:t>NOMAS LĪGUMS Nr._______</w:t>
      </w:r>
    </w:p>
    <w:p w14:paraId="00000004">
      <w:pPr>
        <w:pStyle w:val="Title"/>
        <w:ind w:left="0" w:hanging="2"/>
        <w:rPr>
          <w:rFonts w:ascii="Times New Roman" w:cs="Times New Roman" w:hAnsi="Times New Roman"/>
          <w:sz w:val="24"/>
          <w:szCs w:val="24"/>
        </w:rPr>
      </w:pPr>
      <w:r>
        <w:rPr>
          <w:rFonts w:ascii="Times New Roman" w:cs="Times New Roman" w:hAnsi="Times New Roman"/>
          <w:sz w:val="24"/>
          <w:szCs w:val="24"/>
          <w:rtl w:val="off"/>
        </w:rPr>
        <w:t>Par nedzīvojamo telpu Nr.94 nomu</w:t>
      </w:r>
    </w:p>
    <w:p w14:paraId="00000005">
      <w:pPr>
        <w:ind w:left="0" w:hanging="2"/>
        <w:jc w:val="both"/>
        <w:rPr>
          <w:rFonts w:ascii="Times New Roman" w:cs="Times New Roman" w:hAnsi="Times New Roman"/>
          <w:sz w:val="23"/>
          <w:szCs w:val="23"/>
        </w:rPr>
      </w:pPr>
    </w:p>
    <w:p w14:paraId="00000006">
      <w:p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Rīgā,  </w:t>
      </w:r>
    </w:p>
    <w:p w14:paraId="00000007">
      <w:pPr>
        <w:ind w:left="0" w:hanging="2"/>
        <w:jc w:val="both"/>
        <w:rPr>
          <w:rFonts w:ascii="Times New Roman" w:cs="Times New Roman" w:hAnsi="Times New Roman"/>
          <w:i/>
          <w:sz w:val="23"/>
          <w:szCs w:val="23"/>
        </w:rPr>
      </w:pPr>
      <w:r>
        <w:rPr>
          <w:rFonts w:ascii="Times New Roman" w:cs="Times New Roman" w:hAnsi="Times New Roman"/>
          <w:i/>
          <w:sz w:val="23"/>
          <w:szCs w:val="23"/>
          <w:rtl w:val="off"/>
        </w:rPr>
        <w:t>dokumenta datums ir</w:t>
      </w:r>
    </w:p>
    <w:p w14:paraId="00000008">
      <w:pPr>
        <w:ind w:left="0" w:hanging="2"/>
        <w:jc w:val="both"/>
        <w:rPr>
          <w:rFonts w:ascii="Times New Roman" w:cs="Times New Roman" w:hAnsi="Times New Roman"/>
          <w:i/>
          <w:sz w:val="23"/>
          <w:szCs w:val="23"/>
        </w:rPr>
      </w:pPr>
      <w:r>
        <w:rPr>
          <w:rFonts w:ascii="Times New Roman" w:cs="Times New Roman" w:hAnsi="Times New Roman"/>
          <w:i/>
          <w:sz w:val="23"/>
          <w:szCs w:val="23"/>
          <w:rtl w:val="off"/>
        </w:rPr>
        <w:t xml:space="preserve">pušu pēdējā elektroniskā paraksta </w:t>
      </w:r>
    </w:p>
    <w:p w14:paraId="00000009">
      <w:pPr>
        <w:ind w:left="0" w:hanging="2"/>
        <w:jc w:val="both"/>
        <w:rPr>
          <w:rFonts w:ascii="Times New Roman" w:cs="Times New Roman" w:hAnsi="Times New Roman"/>
          <w:i/>
          <w:sz w:val="23"/>
          <w:szCs w:val="23"/>
        </w:rPr>
      </w:pPr>
      <w:r>
        <w:rPr>
          <w:rFonts w:ascii="Times New Roman" w:cs="Times New Roman" w:hAnsi="Times New Roman"/>
          <w:i/>
          <w:sz w:val="23"/>
          <w:szCs w:val="23"/>
          <w:rtl w:val="off"/>
        </w:rPr>
        <w:t xml:space="preserve">laika zīmoga datums </w:t>
      </w:r>
    </w:p>
    <w:p w14:paraId="0000000A">
      <w:pPr>
        <w:ind w:left="0" w:hanging="2"/>
        <w:jc w:val="both"/>
        <w:rPr>
          <w:rFonts w:ascii="Times New Roman" w:cs="Times New Roman" w:hAnsi="Times New Roman"/>
          <w:sz w:val="23"/>
          <w:szCs w:val="23"/>
        </w:rPr>
      </w:pPr>
    </w:p>
    <w:p w14:paraId="0000000B">
      <w:pPr>
        <w:ind w:left="0" w:hanging="2"/>
        <w:jc w:val="both"/>
        <w:rPr>
          <w:rFonts w:ascii="Times New Roman" w:cs="Times New Roman" w:hAnsi="Times New Roman"/>
          <w:sz w:val="23"/>
          <w:szCs w:val="23"/>
        </w:rPr>
      </w:pPr>
      <w:r>
        <w:rPr>
          <w:rFonts w:ascii="Times New Roman" w:cs="Times New Roman" w:hAnsi="Times New Roman"/>
          <w:b/>
          <w:color w:val="000000"/>
          <w:rtl w:val="off"/>
        </w:rPr>
        <w:t>Sabiedrība ar ierobežotu atbildību “Latvijas Nacionālais sporta centrs”</w:t>
      </w:r>
      <w:r>
        <w:rPr>
          <w:rFonts w:ascii="Times New Roman" w:cs="Times New Roman" w:hAnsi="Times New Roman"/>
          <w:color w:val="000000"/>
          <w:rtl w:val="off"/>
        </w:rPr>
        <w:t xml:space="preserve"> (turpmāk – Sabiedrība), reģistrācijas Nr.50003140671</w:t>
      </w:r>
      <w:r>
        <w:rPr>
          <w:rFonts w:ascii="Times New Roman" w:cs="Times New Roman" w:hAnsi="Times New Roman"/>
          <w:sz w:val="23"/>
          <w:szCs w:val="23"/>
          <w:rtl w:val="off"/>
        </w:rPr>
        <w:t>, (turpmāk – IZNOMĀTĀJS), tās valdes priekšsēdētāja Daniēla Nātriņa personā, kurš rīkojas uz statūtu un 2022. gada 29. septembra valdes lēmuma Nr.1 (protokols Nr.2) pamata, no vienas puses, un</w:t>
      </w:r>
    </w:p>
    <w:p w14:paraId="0000000C">
      <w:pPr>
        <w:tabs>
          <w:tab w:val="left" w:leader="none" w:pos="7513"/>
        </w:tabs>
        <w:ind w:left="0" w:hanging="2"/>
        <w:jc w:val="both"/>
        <w:rPr>
          <w:rFonts w:ascii="Times New Roman" w:cs="Times New Roman" w:hAnsi="Times New Roman"/>
          <w:sz w:val="23"/>
          <w:szCs w:val="23"/>
        </w:rPr>
      </w:pPr>
      <w:r>
        <w:rPr>
          <w:rFonts w:ascii="Times New Roman" w:cs="Times New Roman" w:hAnsi="Times New Roman"/>
          <w:b/>
          <w:sz w:val="23"/>
          <w:szCs w:val="23"/>
          <w:rtl w:val="off"/>
        </w:rPr>
        <w:t>_______________________________</w:t>
      </w:r>
      <w:r>
        <w:rPr>
          <w:rFonts w:ascii="Times New Roman" w:cs="Times New Roman" w:hAnsi="Times New Roman"/>
          <w:sz w:val="23"/>
          <w:szCs w:val="23"/>
          <w:rtl w:val="off"/>
        </w:rPr>
        <w:t>, reģistrācijas Nr.</w:t>
      </w:r>
      <w:r>
        <w:rPr>
          <w:rFonts w:ascii="Times New Roman" w:cs="Times New Roman" w:hAnsi="Times New Roman"/>
          <w:sz w:val="22"/>
          <w:szCs w:val="22"/>
          <w:rtl w:val="off"/>
        </w:rPr>
        <w:t xml:space="preserve"> ________________</w:t>
      </w:r>
      <w:r>
        <w:rPr>
          <w:rFonts w:ascii="Times New Roman" w:cs="Times New Roman" w:hAnsi="Times New Roman"/>
          <w:sz w:val="23"/>
          <w:szCs w:val="23"/>
          <w:rtl w:val="off"/>
        </w:rPr>
        <w:t xml:space="preserve">, (turpmāk – NOMNIEKS), </w:t>
      </w:r>
      <w:r>
        <w:rPr>
          <w:rFonts w:ascii="Times New Roman" w:cs="Times New Roman" w:hAnsi="Times New Roman"/>
          <w:sz w:val="22"/>
          <w:szCs w:val="22"/>
          <w:rtl w:val="off"/>
        </w:rPr>
        <w:t>tās ________________________________________________ personā  no otras puses</w:t>
      </w:r>
      <w:r>
        <w:rPr>
          <w:rFonts w:ascii="Times New Roman" w:cs="Times New Roman" w:hAnsi="Times New Roman"/>
          <w:sz w:val="23"/>
          <w:szCs w:val="23"/>
          <w:rtl w:val="off"/>
        </w:rPr>
        <w:t>, kopā saukti – Puses, noslēdz šādu līgumu (turpmāk – Līgums):</w:t>
      </w:r>
    </w:p>
    <w:p w14:paraId="0000000D">
      <w:pPr>
        <w:ind w:left="1" w:hanging="3"/>
        <w:jc w:val="both"/>
        <w:rPr>
          <w:rFonts w:ascii="Times New Roman" w:cs="Times New Roman" w:hAnsi="Times New Roman"/>
          <w:sz w:val="32"/>
          <w:szCs w:val="32"/>
        </w:rPr>
      </w:pPr>
    </w:p>
    <w:p w14:paraId="0000000E">
      <w:pPr>
        <w:numPr>
          <w:ilvl w:val="0"/>
          <w:numId w:val="1"/>
        </w:numPr>
        <w:ind w:left="0" w:hanging="2"/>
        <w:jc w:val="center"/>
        <w:rPr>
          <w:rFonts w:ascii="Times New Roman" w:cs="Times New Roman" w:hAnsi="Times New Roman"/>
          <w:sz w:val="23"/>
          <w:szCs w:val="23"/>
        </w:rPr>
      </w:pPr>
      <w:r>
        <w:rPr>
          <w:rFonts w:ascii="Times New Roman" w:cs="Times New Roman" w:hAnsi="Times New Roman"/>
          <w:b/>
          <w:sz w:val="23"/>
          <w:szCs w:val="23"/>
          <w:rtl w:val="off"/>
        </w:rPr>
        <w:t>LĪGUMA PRIEKŠMETS</w:t>
      </w:r>
    </w:p>
    <w:p w14:paraId="0000000F">
      <w:pPr>
        <w:numPr>
          <w:ilvl w:val="1"/>
          <w:numId w:val="14"/>
        </w:numPr>
        <w:pBdr>
          <w:top w:val="nil" w:sz="4" w:space="0"/>
          <w:left w:val="nil" w:sz="4" w:space="0"/>
          <w:bottom w:val="nil" w:sz="4" w:space="0"/>
          <w:right w:val="nil" w:sz="4" w:space="0"/>
          <w:between w:val="nil" w:sz="4" w:space="0"/>
        </w:pBdr>
        <w:spacing w:line="240" w:lineRule="auto"/>
        <w:ind w:left="0" w:hanging="2"/>
        <w:jc w:val="both"/>
        <w:rPr>
          <w:rFonts w:ascii="Times New Roman" w:cs="Times New Roman" w:hAnsi="Times New Roman"/>
          <w:color w:val="000000"/>
          <w:sz w:val="23"/>
          <w:szCs w:val="23"/>
        </w:rPr>
      </w:pPr>
      <w:r>
        <w:rPr>
          <w:rFonts w:ascii="Times New Roman" w:cs="Times New Roman" w:hAnsi="Times New Roman"/>
          <w:color w:val="000000"/>
          <w:sz w:val="23"/>
          <w:szCs w:val="23"/>
          <w:rtl w:val="off"/>
        </w:rPr>
        <w:t xml:space="preserve">IZNOMĀTĀJS pret atlīdzību nodod un NOMNIEKS pieņem lietošanā nekustamā īpašuma </w:t>
      </w:r>
      <w:r>
        <w:rPr>
          <w:rFonts w:ascii="Times New Roman" w:cs="Times New Roman" w:hAnsi="Times New Roman"/>
          <w:sz w:val="23"/>
          <w:szCs w:val="23"/>
          <w:rtl w:val="off"/>
        </w:rPr>
        <w:t>nedzīvojamās telpas Nr.94, kas atrodas Augšielā 1, Daugavas ledus hallē, Rīgā, ar  platību 30,4 m</w:t>
      </w:r>
      <w:r>
        <w:rPr>
          <w:rFonts w:ascii="Times New Roman" w:cs="Times New Roman" w:hAnsi="Times New Roman"/>
          <w:sz w:val="23"/>
          <w:szCs w:val="23"/>
          <w:vertAlign w:val="superscript"/>
          <w:rtl w:val="off"/>
        </w:rPr>
        <w:t>2</w:t>
      </w:r>
      <w:r>
        <w:rPr>
          <w:rFonts w:ascii="Times New Roman" w:cs="Times New Roman" w:hAnsi="Times New Roman"/>
          <w:color w:val="000000"/>
          <w:sz w:val="23"/>
          <w:szCs w:val="23"/>
          <w:rtl w:val="off"/>
        </w:rPr>
        <w:t xml:space="preserve"> (trīsdesmit komats četri kvadrāmetri</w:t>
      </w:r>
      <w:r>
        <w:rPr>
          <w:rFonts w:ascii="Times New Roman" w:cs="Times New Roman" w:hAnsi="Times New Roman"/>
          <w:color w:val="000000"/>
          <w:sz w:val="23"/>
          <w:szCs w:val="23"/>
          <w:rtl w:val="off"/>
        </w:rPr>
        <w:t>)</w:t>
      </w:r>
      <w:r>
        <w:rPr>
          <w:rFonts w:ascii="Times New Roman" w:cs="Times New Roman" w:hAnsi="Times New Roman"/>
          <w:i/>
          <w:color w:val="000000"/>
          <w:sz w:val="23"/>
          <w:szCs w:val="23"/>
          <w:rtl w:val="off"/>
        </w:rPr>
        <w:t xml:space="preserve"> </w:t>
      </w:r>
      <w:r>
        <w:rPr>
          <w:rFonts w:ascii="Times New Roman" w:cs="Times New Roman" w:hAnsi="Times New Roman"/>
          <w:color w:val="000000"/>
          <w:sz w:val="23"/>
          <w:szCs w:val="23"/>
          <w:rtl w:val="off"/>
        </w:rPr>
        <w:t>(turpmāk – Nomas objekts).</w:t>
      </w:r>
    </w:p>
    <w:p w14:paraId="00000010">
      <w:pPr>
        <w:numPr>
          <w:ilvl w:val="1"/>
          <w:numId w:val="17"/>
        </w:numPr>
        <w:pBdr>
          <w:top w:val="nil" w:sz="4" w:space="0"/>
          <w:left w:val="nil" w:sz="4" w:space="0"/>
          <w:bottom w:val="nil" w:sz="4" w:space="0"/>
          <w:right w:val="nil" w:sz="4" w:space="0"/>
          <w:between w:val="nil" w:sz="4" w:space="0"/>
        </w:pBdr>
        <w:spacing w:line="240" w:lineRule="auto"/>
        <w:ind w:left="0" w:hanging="2"/>
        <w:jc w:val="both"/>
        <w:rPr>
          <w:rFonts w:ascii="Times New Roman" w:cs="Times New Roman" w:hAnsi="Times New Roman"/>
          <w:color w:val="000000"/>
          <w:sz w:val="23"/>
          <w:szCs w:val="23"/>
        </w:rPr>
      </w:pPr>
      <w:r>
        <w:rPr>
          <w:rFonts w:ascii="Times New Roman" w:cs="Times New Roman" w:hAnsi="Times New Roman"/>
          <w:color w:val="000000"/>
          <w:sz w:val="23"/>
          <w:szCs w:val="23"/>
          <w:rtl w:val="off"/>
        </w:rPr>
        <w:t>Nomas objektu NOMNIEKS izmanto tikai saimnieciskās darbības īstenošanai: sporta preču mazumtirdzniecība.</w:t>
      </w:r>
    </w:p>
    <w:p w14:paraId="00000011">
      <w:pPr>
        <w:numPr>
          <w:ilvl w:val="1"/>
          <w:numId w:val="14"/>
        </w:numPr>
        <w:pBdr>
          <w:top w:val="nil" w:sz="4" w:space="0"/>
          <w:left w:val="nil" w:sz="4" w:space="0"/>
          <w:bottom w:val="nil" w:sz="4" w:space="0"/>
          <w:right w:val="nil" w:sz="4" w:space="0"/>
          <w:between w:val="nil" w:sz="4" w:space="0"/>
        </w:pBdr>
        <w:spacing w:line="240" w:lineRule="auto"/>
        <w:ind w:left="0" w:hanging="2"/>
        <w:jc w:val="both"/>
        <w:rPr>
          <w:rFonts w:ascii="Times New Roman" w:cs="Times New Roman" w:hAnsi="Times New Roman"/>
          <w:color w:val="000000"/>
          <w:sz w:val="23"/>
          <w:szCs w:val="23"/>
        </w:rPr>
      </w:pPr>
      <w:r>
        <w:rPr>
          <w:rFonts w:ascii="Times New Roman" w:cs="Times New Roman" w:hAnsi="Times New Roman"/>
          <w:color w:val="000000"/>
          <w:sz w:val="23"/>
          <w:szCs w:val="23"/>
          <w:rtl w:val="off"/>
        </w:rPr>
        <w:t>Nomas objekts NOMNIEKAM ir ierādīts un zināms un NOMNIEKS to pieņem stāvoklī, kādā tas atrodas Līguma parakstīšanas brīdī.</w:t>
      </w:r>
    </w:p>
    <w:p w14:paraId="00000012">
      <w:pPr>
        <w:numPr>
          <w:ilvl w:val="1"/>
          <w:numId w:val="14"/>
        </w:numPr>
        <w:pBdr>
          <w:top w:val="nil" w:sz="4" w:space="0"/>
          <w:left w:val="nil" w:sz="4" w:space="0"/>
          <w:bottom w:val="nil" w:sz="4" w:space="0"/>
          <w:right w:val="nil" w:sz="4" w:space="0"/>
          <w:between w:val="nil" w:sz="4" w:space="0"/>
        </w:pBdr>
        <w:spacing w:line="240" w:lineRule="auto"/>
        <w:ind w:left="0" w:hanging="2"/>
        <w:jc w:val="both"/>
        <w:rPr>
          <w:rFonts w:ascii="Times New Roman" w:cs="Times New Roman" w:hAnsi="Times New Roman"/>
          <w:color w:val="000000"/>
          <w:sz w:val="23"/>
          <w:szCs w:val="23"/>
        </w:rPr>
      </w:pPr>
      <w:r>
        <w:rPr>
          <w:rFonts w:ascii="Times New Roman" w:cs="Times New Roman" w:hAnsi="Times New Roman"/>
          <w:color w:val="000000"/>
          <w:sz w:val="23"/>
          <w:szCs w:val="23"/>
          <w:rtl w:val="off"/>
        </w:rPr>
        <w:t>NOMNIEKS par saviem līdzekļiem sedz Nomas objekta (telpu) labiekārtošanas darbus, ja tādi nepieciešami saimnieciskās darbības uzsākšanai, t.sk. nodrošina nepieciešamā aprīkojuma, iekārtu un mēbeļu iegādi.</w:t>
      </w:r>
    </w:p>
    <w:p w14:paraId="00000013">
      <w:pPr>
        <w:tabs>
          <w:tab w:val="left" w:leader="none" w:pos="426"/>
        </w:tabs>
        <w:ind w:left="0" w:hanging="2"/>
        <w:jc w:val="both"/>
        <w:rPr>
          <w:rFonts w:ascii="Times New Roman" w:cs="Times New Roman" w:hAnsi="Times New Roman"/>
          <w:sz w:val="23"/>
          <w:szCs w:val="23"/>
        </w:rPr>
      </w:pPr>
    </w:p>
    <w:p w14:paraId="00000014">
      <w:pPr>
        <w:numPr>
          <w:ilvl w:val="0"/>
          <w:numId w:val="4"/>
        </w:numPr>
        <w:tabs>
          <w:tab w:val="left" w:leader="none" w:pos="426"/>
        </w:tabs>
        <w:ind w:left="0" w:hanging="2"/>
        <w:jc w:val="center"/>
        <w:rPr>
          <w:rFonts w:ascii="Times New Roman" w:cs="Times New Roman" w:hAnsi="Times New Roman"/>
          <w:sz w:val="23"/>
          <w:szCs w:val="23"/>
        </w:rPr>
      </w:pPr>
      <w:r>
        <w:rPr>
          <w:rFonts w:ascii="Times New Roman" w:cs="Times New Roman" w:hAnsi="Times New Roman"/>
          <w:b/>
          <w:sz w:val="23"/>
          <w:szCs w:val="23"/>
          <w:rtl w:val="off"/>
        </w:rPr>
        <w:t>LĪGUMA DARBĪBAS TERMIŅŠ</w:t>
      </w:r>
    </w:p>
    <w:p w14:paraId="00000015">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 Līgums stājas spēkā 2024. gada __. __________, un ir noslēgts uz noteiktu laiku 3 (trīs) gadi līdz </w:t>
      </w:r>
      <w:r>
        <w:rPr>
          <w:rFonts w:ascii="Times New Roman" w:cs="Times New Roman" w:hAnsi="Times New Roman"/>
          <w:b/>
          <w:sz w:val="23"/>
          <w:szCs w:val="23"/>
          <w:rtl w:val="off"/>
        </w:rPr>
        <w:t>2027.gada __.________________</w:t>
      </w:r>
      <w:r>
        <w:rPr>
          <w:rFonts w:ascii="Times New Roman" w:cs="Times New Roman" w:hAnsi="Times New Roman"/>
          <w:sz w:val="23"/>
          <w:szCs w:val="23"/>
          <w:rtl w:val="off"/>
        </w:rPr>
        <w:t>. Saistības, kas radušās Līguma spēkā esamības laikā, ir spēkā līdz to pilnīgai izpildei.</w:t>
      </w:r>
    </w:p>
    <w:p w14:paraId="00000016">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00000017">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IZNOMĀTĀJAM ir tiesības, rakstiski informējot NOMNIEKU, vienpusēji izbeigt Līgumu, neatlīdzinot NOMNIEKAM zaudējumus, kas saistīti ar Līguma pirmstermiņa izbeigšanu, kā arī NOMNIEKA Nomas objektam taisītos izdevums, ja:</w:t>
      </w:r>
    </w:p>
    <w:p w14:paraId="00000018">
      <w:pPr>
        <w:numPr>
          <w:ilvl w:val="2"/>
          <w:numId w:val="10"/>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NOMNIEKS ilgāk kā 2 (divus) kalendāros mēnešus kavē Līgumā noteikto maksājumu samaksas termiņu;</w:t>
      </w:r>
    </w:p>
    <w:p w14:paraId="00000019">
      <w:pPr>
        <w:numPr>
          <w:ilvl w:val="2"/>
          <w:numId w:val="10"/>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NOMNIEKA darbības vai bezdarbības rezultātā tiek bojāts Nomas objekts, t.sk., bet ne tikai NOMNIEKS veic patvaļīgu Nomas objekta vai tā daļas pārbūvi, pārplānošanu, nojaukšanu, maina tā funkcionālo nozīmi, bojā citu IZNOMĀTĀJA īpašumu;</w:t>
      </w:r>
    </w:p>
    <w:p w14:paraId="0000001A">
      <w:pPr>
        <w:numPr>
          <w:ilvl w:val="2"/>
          <w:numId w:val="10"/>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NOMNIEKS neievēro Līguma noteikumus, t.sk., bet ne tikai izmanto Nomas objektu citam mērķim kā paredzēts Līguma 1.2.punktā vai neizmanto Nomas objektu Līguma 1.2.punktā noteiktajam mērķim;</w:t>
      </w:r>
    </w:p>
    <w:p w14:paraId="0000001B">
      <w:pPr>
        <w:numPr>
          <w:ilvl w:val="2"/>
          <w:numId w:val="10"/>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NOMNIEKS ir nodevis Nomas objektu apakšnomā;</w:t>
      </w:r>
    </w:p>
    <w:p w14:paraId="0000001C">
      <w:pPr>
        <w:numPr>
          <w:ilvl w:val="2"/>
          <w:numId w:val="10"/>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NOMNIEKS ar spēkā stājušos tiesas nolēmumu atzīts par maksātnespējīgu;</w:t>
      </w:r>
    </w:p>
    <w:p w14:paraId="0000001D">
      <w:pPr>
        <w:numPr>
          <w:ilvl w:val="2"/>
          <w:numId w:val="10"/>
        </w:numPr>
        <w:ind w:left="0" w:hanging="2"/>
        <w:jc w:val="both"/>
        <w:rPr>
          <w:rFonts w:ascii="Times New Roman" w:cs="Times New Roman" w:hAnsi="Times New Roman"/>
          <w:sz w:val="23"/>
          <w:szCs w:val="23"/>
        </w:rPr>
      </w:pPr>
      <w:r>
        <w:rPr>
          <w:rFonts w:ascii="Times New Roman" w:cs="Times New Roman" w:hAnsi="Times New Roman"/>
          <w:sz w:val="23"/>
          <w:szCs w:val="23"/>
          <w:rtl w:val="off"/>
        </w:rPr>
        <w:t>ar Valsts ieņēmumu dienesta lēmumu tiek apturēta NOMNIEKA saimnieciskā darbība;</w:t>
      </w:r>
    </w:p>
    <w:p w14:paraId="0000001E">
      <w:pPr>
        <w:numPr>
          <w:ilvl w:val="2"/>
          <w:numId w:val="10"/>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NOMNIEKS neievēro Civillikuma vai citu normatīvo aktu noteikumi attiecībā uz Nomas objekta lietošanu un uzturēšanu;</w:t>
      </w:r>
    </w:p>
    <w:p w14:paraId="0000001F">
      <w:pPr>
        <w:numPr>
          <w:ilvl w:val="2"/>
          <w:numId w:val="10"/>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NOMNIEKS ļaunprātīgi nepilda Līguma nosacījumus un dod pamatu IZNOMĀTĀJAM uzskatīt, ka IZNOMĀTĀJS nevar paļauties uz saistību izpildīšanu nākotnē.</w:t>
      </w:r>
    </w:p>
    <w:p w14:paraId="00000020">
      <w:pPr>
        <w:ind w:left="0" w:hanging="2"/>
        <w:jc w:val="both"/>
        <w:rPr>
          <w:rFonts w:ascii="Times New Roman" w:cs="Times New Roman" w:hAnsi="Times New Roman"/>
          <w:sz w:val="23"/>
          <w:szCs w:val="23"/>
        </w:rPr>
      </w:pPr>
      <w:r>
        <w:rPr>
          <w:rFonts w:ascii="Times New Roman" w:cs="Times New Roman" w:hAnsi="Times New Roman"/>
          <w:sz w:val="23"/>
          <w:szCs w:val="23"/>
          <w:rtl w:val="off"/>
        </w:rPr>
        <w:t>Puses vienojas, ka, ja Līguma darbība tiek izbeigta šajā Līguma punkta apakšpunktos minēto iemeslu dēļ, Līgums tiek uzskatīts par izbeigtu 10.(desmitajā) darba dienā pēc attiecīgā IZNOMĀTĀJA rakstveida paziņojuma nosūtīšanas dienas.</w:t>
      </w:r>
    </w:p>
    <w:p w14:paraId="00000021">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IZNOMĀTĀJAM ir tiesības 90 (deviņdesmit) kalendārās dienas iepriekš rakstveidā brīdinot NOMNIEKU, vienpusēji izbeigt Līgumu, neatlīdzinot NOMNIEKAM zaudējumus, kas saistīti ar Līguma pirmstermiņa izbeigšanu:</w:t>
      </w:r>
    </w:p>
    <w:p w14:paraId="00000022">
      <w:pPr>
        <w:numPr>
          <w:ilvl w:val="2"/>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ja Nomas objekts IZNOMĀTĀJAM nepieciešams sabiedrisko vajadzību nodrošināšanai vai normatīvajos aktos noteikto publisko funkciju veikšanai;</w:t>
      </w:r>
    </w:p>
    <w:p w14:paraId="00000023">
      <w:pPr>
        <w:numPr>
          <w:ilvl w:val="2"/>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pēc IZNOMĀTĀJA iniciatīvas.</w:t>
      </w:r>
    </w:p>
    <w:p w14:paraId="00000024">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00000025">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NOMNIEKAM ir tiesības vienpusēji atkāpties no Līguma rakstveidā paziņojot par to IZNOMĀTĀJAM ne mazāk kā 60 (sešdesmit) kalendārās dienas iepriekš.</w:t>
      </w:r>
    </w:p>
    <w:p w14:paraId="00000026">
      <w:pPr>
        <w:ind w:left="0" w:hanging="2"/>
        <w:jc w:val="both"/>
        <w:rPr>
          <w:rFonts w:ascii="Times New Roman" w:cs="Times New Roman" w:hAnsi="Times New Roman"/>
          <w:sz w:val="23"/>
          <w:szCs w:val="23"/>
        </w:rPr>
      </w:pPr>
    </w:p>
    <w:p w14:paraId="00000027">
      <w:pPr>
        <w:numPr>
          <w:ilvl w:val="0"/>
          <w:numId w:val="4"/>
        </w:numPr>
        <w:tabs>
          <w:tab w:val="left" w:leader="none" w:pos="426"/>
        </w:tabs>
        <w:ind w:left="0" w:hanging="2"/>
        <w:jc w:val="center"/>
        <w:rPr>
          <w:rFonts w:ascii="Times New Roman" w:cs="Times New Roman" w:hAnsi="Times New Roman"/>
          <w:sz w:val="23"/>
          <w:szCs w:val="23"/>
        </w:rPr>
      </w:pPr>
      <w:r>
        <w:rPr>
          <w:rFonts w:ascii="Times New Roman" w:cs="Times New Roman" w:hAnsi="Times New Roman"/>
          <w:b/>
          <w:sz w:val="23"/>
          <w:szCs w:val="23"/>
          <w:rtl w:val="off"/>
        </w:rPr>
        <w:t>MAKSĀJUMI UN NORĒĶINU KĀRTĪBA</w:t>
      </w:r>
      <w:bookmarkStart w:id="0" w:name="gjdgxs"/>
      <w:bookmarkEnd w:id="0"/>
    </w:p>
    <w:p w14:paraId="00000028">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 NOMNIEKS maksā IZNOMĀTĀJAM ikmēneša nomas maksu par Nomas objektu kopā </w:t>
      </w:r>
      <w:r>
        <w:rPr>
          <w:rFonts w:ascii="Times New Roman" w:cs="Times New Roman" w:hAnsi="Times New Roman"/>
          <w:b/>
          <w:sz w:val="23"/>
          <w:szCs w:val="23"/>
          <w:rtl w:val="off"/>
        </w:rPr>
        <w:t xml:space="preserve">EUR ____________ apmērā, </w:t>
      </w:r>
      <w:r>
        <w:rPr>
          <w:rFonts w:ascii="Times New Roman" w:cs="Times New Roman" w:hAnsi="Times New Roman"/>
          <w:sz w:val="23"/>
          <w:szCs w:val="23"/>
          <w:rtl w:val="off"/>
        </w:rPr>
        <w:t>neskaitot pievienotās vērtības nodokli (turpmāk – PVN).</w:t>
      </w:r>
      <w:r>
        <w:rPr>
          <w:rFonts w:ascii="Times New Roman" w:cs="Times New Roman" w:hAnsi="Times New Roman"/>
          <w:b/>
          <w:sz w:val="23"/>
          <w:szCs w:val="23"/>
          <w:rtl w:val="off"/>
        </w:rPr>
        <w:t xml:space="preserve"> </w:t>
      </w:r>
      <w:r>
        <w:rPr>
          <w:rFonts w:ascii="Times New Roman" w:cs="Times New Roman" w:hAnsi="Times New Roman"/>
          <w:sz w:val="23"/>
          <w:szCs w:val="23"/>
          <w:rtl w:val="off"/>
        </w:rPr>
        <w:t xml:space="preserve">PVN Līguma noslēgšanas brīdī ir 21% (divdesmit viens procents), kas ir EUR ___________. Mēneša nomas maksas </w:t>
      </w:r>
      <w:r>
        <w:rPr>
          <w:rFonts w:ascii="Times New Roman" w:cs="Times New Roman" w:hAnsi="Times New Roman"/>
          <w:b/>
          <w:sz w:val="23"/>
          <w:szCs w:val="23"/>
          <w:rtl w:val="off"/>
        </w:rPr>
        <w:t>kopējā summa ar PVN ir ______________.</w:t>
      </w:r>
    </w:p>
    <w:p w14:paraId="00000029">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0000002A">
      <w:pPr>
        <w:numPr>
          <w:ilvl w:val="1"/>
          <w:numId w:val="4"/>
        </w:numPr>
        <w:pBdr>
          <w:top w:val="nil" w:sz="4" w:space="0"/>
          <w:left w:val="nil" w:sz="4" w:space="0"/>
          <w:bottom w:val="nil" w:sz="4" w:space="0"/>
          <w:right w:val="nil" w:sz="4" w:space="0"/>
          <w:between w:val="nil" w:sz="4" w:space="0"/>
        </w:pBdr>
        <w:spacing w:line="240" w:lineRule="auto"/>
        <w:ind w:left="0" w:hanging="2"/>
        <w:jc w:val="both"/>
        <w:rPr>
          <w:rFonts w:ascii="Times New Roman" w:cs="Times New Roman" w:hAnsi="Times New Roman"/>
          <w:color w:val="000000"/>
          <w:sz w:val="23"/>
          <w:szCs w:val="23"/>
        </w:rPr>
      </w:pPr>
      <w:r>
        <w:rPr>
          <w:rFonts w:ascii="Times New Roman" w:cs="Times New Roman" w:hAnsi="Times New Roman"/>
          <w:color w:val="000000"/>
          <w:sz w:val="23"/>
          <w:szCs w:val="23"/>
          <w:rtl w:val="off"/>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0000002B">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NOMNIEKS nomas maksu maksā, sākot ar Līguma abpusējas parakstīšanas dienu. </w:t>
      </w:r>
    </w:p>
    <w:p w14:paraId="0000002C">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 NOMNIEKS nomas maksu maksā par kārtējo kalendāro mēnesi līdz kārtējā kalendārā mēneša beigām, pamatojoties uz IZNOMĀTĀJA izrakstīto rēķinu, kas NOMNIEKAM tiek iesniegts </w:t>
      </w:r>
      <w:r>
        <w:rPr>
          <w:rFonts w:ascii="Times New Roman" w:cs="Times New Roman" w:hAnsi="Times New Roman"/>
          <w:b/>
          <w:sz w:val="23"/>
          <w:szCs w:val="23"/>
          <w:rtl w:val="off"/>
        </w:rPr>
        <w:t>līdz kārtējā mēneša 17.datumam</w:t>
      </w:r>
      <w:r>
        <w:rPr>
          <w:rFonts w:ascii="Times New Roman" w:cs="Times New Roman" w:hAnsi="Times New Roman"/>
          <w:sz w:val="23"/>
          <w:szCs w:val="23"/>
          <w:rtl w:val="off"/>
        </w:rPr>
        <w:t xml:space="preserve">. </w:t>
      </w:r>
    </w:p>
    <w:p w14:paraId="0000002D">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NOMNIEKS maksu par Līguma 3.3.apakšpunktā minētajiem pakalpojumiem maksā par iepriekšējo mēnesi līdz kārtējā kalendārā mēneša beigām, pamatojoties uz IZNOMĀTĀJA izrakstīto rēķinu, kas NOMNIEKAM tiek iesniegts </w:t>
      </w:r>
      <w:r>
        <w:rPr>
          <w:rFonts w:ascii="Times New Roman" w:cs="Times New Roman" w:hAnsi="Times New Roman"/>
          <w:b/>
          <w:sz w:val="23"/>
          <w:szCs w:val="23"/>
          <w:rtl w:val="off"/>
        </w:rPr>
        <w:t>līdz kārtējā mēneša 17.datumam</w:t>
      </w:r>
      <w:r>
        <w:rPr>
          <w:rFonts w:ascii="Times New Roman" w:cs="Times New Roman" w:hAnsi="Times New Roman"/>
          <w:sz w:val="23"/>
          <w:szCs w:val="23"/>
          <w:rtl w:val="off"/>
        </w:rPr>
        <w:t xml:space="preserve">. </w:t>
      </w:r>
    </w:p>
    <w:p w14:paraId="0000002E">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0000002F">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IZNOMĀTĀJS visus rēķinus, kas izriet no šī Līguma, NOMNIEKAM iesniedz elektroniskā veidā, nosūtot tos uz NOMNIEKA elektronisko pasta adresi </w:t>
      </w:r>
      <w:r>
        <w:rPr>
          <w:rFonts w:ascii="Times New Roman" w:cs="Times New Roman" w:hAnsi="Times New Roman"/>
          <w:color w:val="0000ff"/>
          <w:sz w:val="23"/>
          <w:szCs w:val="23"/>
          <w:u w:val="single"/>
          <w:vertAlign w:val="baseline"/>
          <w:rtl w:val="off"/>
        </w:rPr>
        <w:fldChar w:fldCharType="begin"/>
      </w:r>
      <w:r>
        <w:rPr>
          <w:rFonts w:ascii="Times New Roman" w:cs="Times New Roman" w:hAnsi="Times New Roman"/>
          <w:color w:val="0000ff"/>
          <w:sz w:val="23"/>
          <w:szCs w:val="23"/>
          <w:u w:val="single"/>
          <w:vertAlign w:val="baseline"/>
          <w:rtl w:val="off"/>
        </w:rPr>
        <w:instrText xml:space="preserve">HYPERLINK "mailto:info@fsmasters.lv" </w:instrText>
      </w:r>
      <w:r>
        <w:rPr>
          <w:rFonts w:ascii="Times New Roman" w:cs="Times New Roman" w:hAnsi="Times New Roman"/>
          <w:color w:val="0000ff"/>
          <w:sz w:val="23"/>
          <w:szCs w:val="23"/>
          <w:u w:val="single"/>
          <w:vertAlign w:val="baseline"/>
          <w:rtl w:val="off"/>
        </w:rPr>
        <w:fldChar w:fldCharType="separate"/>
      </w:r>
      <w:r>
        <w:rPr>
          <w:rFonts w:ascii="Times New Roman" w:cs="Times New Roman" w:hAnsi="Times New Roman"/>
          <w:color w:val="0000ff"/>
          <w:sz w:val="23"/>
          <w:szCs w:val="23"/>
          <w:u w:val="single"/>
          <w:vertAlign w:val="baseline"/>
          <w:rtl w:val="off"/>
        </w:rPr>
        <w:t>___________</w:t>
      </w:r>
      <w:r>
        <w:rPr>
          <w:rFonts w:ascii="Times New Roman" w:cs="Times New Roman" w:hAnsi="Times New Roman"/>
          <w:sz w:val="23"/>
          <w:szCs w:val="23"/>
          <w:u w:val="single"/>
          <w:rtl w:val="off"/>
        </w:rPr>
        <w:fldChar w:fldCharType="end"/>
      </w:r>
      <w:r>
        <w:rPr>
          <w:rFonts w:ascii="Times New Roman" w:cs="Times New Roman" w:hAnsi="Times New Roman"/>
          <w:sz w:val="23"/>
          <w:szCs w:val="23"/>
          <w:u w:val="single"/>
          <w:rtl w:val="off"/>
        </w:rPr>
        <w:t xml:space="preserve"> </w:t>
      </w:r>
      <w:r>
        <w:rPr>
          <w:rFonts w:ascii="Times New Roman" w:cs="Times New Roman" w:hAnsi="Times New Roman"/>
          <w:sz w:val="23"/>
          <w:szCs w:val="23"/>
          <w:rtl w:val="off"/>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00000030">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Nomas maksa par Nomas objekta  lietošanu un citi Līgumā paredzētie maksājumi tiek veikti pārskaitījuma veidā uz IZNOMĀTĀJA norēķinu kontu.</w:t>
      </w:r>
    </w:p>
    <w:p w14:paraId="00000031">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Līguma 4.1.4.punktā noteiktajā gadījumā nomas maksa netiek aprēķināta par laika periodu, kad NOMNIEKAM ir liegta iespēja lietot Nomas objektu.</w:t>
      </w:r>
    </w:p>
    <w:p w14:paraId="00000032">
      <w:pPr>
        <w:numPr>
          <w:ilvl w:val="1"/>
          <w:numId w:val="4"/>
        </w:numPr>
        <w:spacing w:line="240" w:lineRule="auto"/>
        <w:ind w:left="360" w:hanging="360"/>
        <w:jc w:val="both"/>
        <w:rPr>
          <w:rFonts w:ascii="Times New Roman" w:cs="Times New Roman" w:hAnsi="Times New Roman"/>
          <w:sz w:val="23"/>
          <w:szCs w:val="23"/>
        </w:rPr>
      </w:pPr>
      <w:r>
        <w:rPr>
          <w:rFonts w:ascii="Times New Roman" w:cs="Times New Roman" w:hAnsi="Times New Roman"/>
          <w:sz w:val="23"/>
          <w:szCs w:val="23"/>
          <w:rtl w:val="off"/>
        </w:rPr>
        <w:t>IZNOMĀTĀJAM ir tiesības, nosūtot Nomniekam rakstisku paziņojumu, vienpusēji mainīt nomas maksas apmēru bez grozījumu izdarīšanas līgumā:</w:t>
      </w:r>
    </w:p>
    <w:p w14:paraId="00000033">
      <w:pPr>
        <w:numPr>
          <w:ilvl w:val="2"/>
          <w:numId w:val="4"/>
        </w:numPr>
        <w:spacing w:line="240" w:lineRule="auto"/>
        <w:ind w:left="720" w:hanging="720"/>
        <w:jc w:val="both"/>
        <w:rPr>
          <w:rFonts w:ascii="Times New Roman" w:cs="Times New Roman" w:hAnsi="Times New Roman"/>
          <w:sz w:val="23"/>
          <w:szCs w:val="23"/>
        </w:rPr>
      </w:pPr>
      <w:r>
        <w:rPr>
          <w:rFonts w:ascii="Times New Roman" w:cs="Times New Roman" w:hAnsi="Times New Roman"/>
          <w:sz w:val="23"/>
          <w:szCs w:val="23"/>
          <w:rtl w:val="off"/>
        </w:rPr>
        <w:t xml:space="preserve">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00000034">
      <w:pPr>
        <w:numPr>
          <w:ilvl w:val="2"/>
          <w:numId w:val="4"/>
        </w:numPr>
        <w:spacing w:line="240" w:lineRule="auto"/>
        <w:ind w:left="720" w:hanging="720"/>
        <w:jc w:val="both"/>
        <w:rPr>
          <w:rFonts w:ascii="Times New Roman" w:cs="Times New Roman" w:hAnsi="Times New Roman"/>
          <w:sz w:val="23"/>
          <w:szCs w:val="23"/>
        </w:rPr>
      </w:pPr>
      <w:r>
        <w:rPr>
          <w:rFonts w:ascii="Times New Roman" w:cs="Times New Roman" w:hAnsi="Times New Roman"/>
          <w:sz w:val="23"/>
          <w:szCs w:val="23"/>
          <w:rtl w:val="off"/>
        </w:rPr>
        <w:t xml:space="preserve"> ja saskaņā ar normatīvajiem aktiem tiek no jauna ieviesti vai palielināti nodokļi vai nodevas. Minētajos gadījumos nomas maksas apmērs tiek mainīts, sākot ar dienu, kāda noteikta attiecīgajos normatīvajos aktos;</w:t>
      </w:r>
    </w:p>
    <w:p w14:paraId="00000035">
      <w:pPr>
        <w:numPr>
          <w:ilvl w:val="2"/>
          <w:numId w:val="4"/>
        </w:numPr>
        <w:spacing w:line="240" w:lineRule="auto"/>
        <w:ind w:left="720" w:hanging="720"/>
        <w:jc w:val="both"/>
        <w:rPr>
          <w:rFonts w:ascii="Times New Roman" w:cs="Times New Roman" w:hAnsi="Times New Roman"/>
          <w:sz w:val="23"/>
          <w:szCs w:val="23"/>
        </w:rPr>
      </w:pPr>
      <w:r>
        <w:rPr>
          <w:rFonts w:ascii="Times New Roman" w:cs="Times New Roman" w:hAnsi="Times New Roman"/>
          <w:sz w:val="23"/>
          <w:szCs w:val="23"/>
          <w:rtl w:val="off"/>
        </w:rPr>
        <w:t>reizi gadā nākamajam nomas periodam, ja ir mainījušies iznomātāja nomas objekta plānotie pārvaldīšanas izdevumi;</w:t>
      </w:r>
    </w:p>
    <w:p w14:paraId="00000036">
      <w:pPr>
        <w:numPr>
          <w:ilvl w:val="2"/>
          <w:numId w:val="4"/>
        </w:numPr>
        <w:spacing w:line="240" w:lineRule="auto"/>
        <w:ind w:left="720" w:hanging="720"/>
        <w:jc w:val="both"/>
        <w:rPr>
          <w:rFonts w:ascii="Times New Roman" w:cs="Times New Roman" w:hAnsi="Times New Roman"/>
          <w:sz w:val="23"/>
          <w:szCs w:val="23"/>
        </w:rPr>
      </w:pPr>
      <w:r>
        <w:rPr>
          <w:rFonts w:ascii="Times New Roman" w:cs="Times New Roman" w:hAnsi="Times New Roman"/>
          <w:sz w:val="23"/>
          <w:szCs w:val="23"/>
          <w:rtl w:val="off"/>
        </w:rPr>
        <w:t xml:space="preserve"> ja normatīvie akti paredz citu nomas maksas apmēru vai nomas maksas aprēķināšanas kārtību.</w:t>
      </w:r>
    </w:p>
    <w:p w14:paraId="00000037">
      <w:pPr>
        <w:tabs>
          <w:tab w:val="left" w:leader="none" w:pos="426"/>
        </w:tabs>
        <w:ind w:left="0" w:hanging="2"/>
        <w:jc w:val="both"/>
        <w:rPr>
          <w:rFonts w:ascii="Times New Roman" w:cs="Times New Roman" w:hAnsi="Times New Roman"/>
          <w:sz w:val="23"/>
          <w:szCs w:val="23"/>
        </w:rPr>
      </w:pPr>
    </w:p>
    <w:p w14:paraId="00000038">
      <w:pPr>
        <w:numPr>
          <w:ilvl w:val="0"/>
          <w:numId w:val="4"/>
        </w:numPr>
        <w:ind w:left="0" w:hanging="2"/>
        <w:jc w:val="center"/>
        <w:rPr>
          <w:rFonts w:ascii="Times New Roman" w:cs="Times New Roman" w:hAnsi="Times New Roman"/>
          <w:sz w:val="23"/>
          <w:szCs w:val="23"/>
        </w:rPr>
      </w:pPr>
      <w:r>
        <w:rPr>
          <w:rFonts w:ascii="Times New Roman" w:cs="Times New Roman" w:hAnsi="Times New Roman"/>
          <w:b/>
          <w:sz w:val="23"/>
          <w:szCs w:val="23"/>
          <w:rtl w:val="off"/>
        </w:rPr>
        <w:t>IZNOMĀTĀJA TIESĪBAS UN PIENĀKUMI</w:t>
      </w:r>
    </w:p>
    <w:p w14:paraId="00000039">
      <w:pPr>
        <w:numPr>
          <w:ilvl w:val="1"/>
          <w:numId w:val="2"/>
        </w:numPr>
        <w:ind w:left="0" w:hanging="2"/>
        <w:jc w:val="both"/>
        <w:rPr>
          <w:rFonts w:ascii="Times New Roman" w:cs="Times New Roman" w:hAnsi="Times New Roman"/>
          <w:sz w:val="23"/>
          <w:szCs w:val="23"/>
        </w:rPr>
      </w:pPr>
      <w:r>
        <w:rPr>
          <w:rFonts w:ascii="Times New Roman" w:cs="Times New Roman" w:hAnsi="Times New Roman"/>
          <w:sz w:val="23"/>
          <w:szCs w:val="23"/>
          <w:rtl w:val="off"/>
        </w:rPr>
        <w:t>IZNOMĀTĀJAM ir tiesības:</w:t>
      </w:r>
    </w:p>
    <w:p w14:paraId="0000003A">
      <w:pPr>
        <w:numPr>
          <w:ilvl w:val="2"/>
          <w:numId w:val="3"/>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NOMNIEKA pārstāvja klātbūtnē pārbaudīt Nomas objekta stāvokli un izmantošanu atbilstoši ekspluatācijas noteikumiem, iepriekš saskaņojot ar NOMNIEKU pārbaudes laiku;</w:t>
      </w:r>
    </w:p>
    <w:p w14:paraId="0000003B">
      <w:pPr>
        <w:numPr>
          <w:ilvl w:val="2"/>
          <w:numId w:val="3"/>
        </w:numPr>
        <w:ind w:left="0" w:hanging="2"/>
        <w:jc w:val="both"/>
        <w:rPr>
          <w:rFonts w:ascii="Times New Roman" w:cs="Times New Roman" w:hAnsi="Times New Roman"/>
          <w:sz w:val="23"/>
          <w:szCs w:val="23"/>
        </w:rPr>
      </w:pPr>
      <w:r>
        <w:rPr>
          <w:rFonts w:ascii="Times New Roman" w:cs="Times New Roman" w:hAnsi="Times New Roman"/>
          <w:sz w:val="23"/>
          <w:szCs w:val="23"/>
          <w:rtl w:val="off"/>
        </w:rPr>
        <w:t>avārijas gadījumā (ugunsgrēks, eksplozija, appludināšana u.tml.) bez atsevišķas NOMNIEKA atļaujas saņemšanas jebkurā diennakts laikā piekļūt Nomas objektam;</w:t>
      </w:r>
    </w:p>
    <w:p w14:paraId="0000003C">
      <w:pPr>
        <w:numPr>
          <w:ilvl w:val="2"/>
          <w:numId w:val="15"/>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 uzsākt, veikt un pabeigt ēkas kārtējos (kosmētiskos) remontdarbus vai rekonstrukciju, informējot par darbu izpildes termiņiem NOMNIEKU, ja šie remontdarbi varētu traucēt NOMNIEKAM izmantot Nomas objektu.</w:t>
      </w:r>
    </w:p>
    <w:p w14:paraId="0000003D">
      <w:pPr>
        <w:numPr>
          <w:ilvl w:val="2"/>
          <w:numId w:val="3"/>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atsevišķu pasākumu norises nodrošināšanai noteikt ierobežojumus piekļūšanai Nomas objektam un darbībai un nepieciešamības gadījumā lūgt atbrīvot Nomas objektu no aprīkojuma, iekārtām un sadzīves priekšmetiem. Par ierobežojumu laiku un noteikumiem NOMNIEKS tiek informēts rakstveidā vismaz 14 (četrpadsmit) kalendārās dienas iepriekš. </w:t>
      </w:r>
    </w:p>
    <w:p w14:paraId="0000003E">
      <w:pPr>
        <w:numPr>
          <w:ilvl w:val="1"/>
          <w:numId w:val="2"/>
        </w:numPr>
        <w:ind w:left="0" w:hanging="2"/>
        <w:jc w:val="both"/>
        <w:rPr>
          <w:rFonts w:ascii="Times New Roman" w:cs="Times New Roman" w:hAnsi="Times New Roman"/>
          <w:sz w:val="23"/>
          <w:szCs w:val="23"/>
        </w:rPr>
      </w:pPr>
      <w:r>
        <w:rPr>
          <w:rFonts w:ascii="Times New Roman" w:cs="Times New Roman" w:hAnsi="Times New Roman"/>
          <w:sz w:val="23"/>
          <w:szCs w:val="23"/>
          <w:rtl w:val="off"/>
        </w:rPr>
        <w:t>IZNOMĀTĀJAM ir pienākums:</w:t>
      </w:r>
    </w:p>
    <w:p w14:paraId="0000003F">
      <w:pPr>
        <w:numPr>
          <w:ilvl w:val="2"/>
          <w:numId w:val="6"/>
        </w:numPr>
        <w:ind w:left="0" w:hanging="2"/>
        <w:jc w:val="both"/>
        <w:rPr>
          <w:rFonts w:ascii="Times New Roman" w:cs="Times New Roman" w:hAnsi="Times New Roman"/>
          <w:sz w:val="23"/>
          <w:szCs w:val="23"/>
        </w:rPr>
      </w:pPr>
      <w:r>
        <w:rPr>
          <w:rFonts w:ascii="Times New Roman" w:cs="Times New Roman" w:hAnsi="Times New Roman"/>
          <w:sz w:val="23"/>
          <w:szCs w:val="23"/>
          <w:rtl w:val="off"/>
        </w:rPr>
        <w:t>nodot NOMNIEKAM lietošanā Nomas objektu saskaņā ar Līguma noteikumiem;</w:t>
      </w:r>
    </w:p>
    <w:p w14:paraId="00000040">
      <w:pPr>
        <w:numPr>
          <w:ilvl w:val="2"/>
          <w:numId w:val="6"/>
        </w:numPr>
        <w:ind w:left="0" w:hanging="2"/>
        <w:jc w:val="both"/>
        <w:rPr>
          <w:rFonts w:ascii="Times New Roman" w:cs="Times New Roman" w:hAnsi="Times New Roman"/>
          <w:sz w:val="23"/>
          <w:szCs w:val="23"/>
        </w:rPr>
      </w:pPr>
      <w:r>
        <w:rPr>
          <w:rFonts w:ascii="Times New Roman" w:cs="Times New Roman" w:hAnsi="Times New Roman"/>
          <w:sz w:val="23"/>
          <w:szCs w:val="23"/>
          <w:rtl w:val="off"/>
        </w:rPr>
        <w:t>netraucēt NOMNIEKAM lietot Nomas objektu, ja tas tiek ekspluatēts atbilstoši vispārpieņemtām normām, ekspluatācijas un Līguma noteikumiem;</w:t>
      </w:r>
    </w:p>
    <w:p w14:paraId="00000041">
      <w:pPr>
        <w:numPr>
          <w:ilvl w:val="2"/>
          <w:numId w:val="6"/>
        </w:numPr>
        <w:ind w:left="0" w:hanging="2"/>
        <w:jc w:val="both"/>
        <w:rPr>
          <w:rFonts w:ascii="Times New Roman" w:cs="Times New Roman" w:hAnsi="Times New Roman"/>
          <w:sz w:val="23"/>
          <w:szCs w:val="23"/>
        </w:rPr>
      </w:pPr>
      <w:r>
        <w:rPr>
          <w:rFonts w:ascii="Times New Roman" w:cs="Times New Roman" w:hAnsi="Times New Roman"/>
          <w:sz w:val="23"/>
          <w:szCs w:val="23"/>
          <w:rtl w:val="off"/>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00000042">
      <w:pPr>
        <w:numPr>
          <w:ilvl w:val="2"/>
          <w:numId w:val="6"/>
        </w:numPr>
        <w:ind w:left="0" w:hanging="2"/>
        <w:jc w:val="both"/>
        <w:rPr>
          <w:rFonts w:ascii="Times New Roman" w:cs="Times New Roman" w:hAnsi="Times New Roman"/>
          <w:sz w:val="23"/>
          <w:szCs w:val="23"/>
        </w:rPr>
      </w:pPr>
      <w:r>
        <w:rPr>
          <w:rFonts w:ascii="Times New Roman" w:cs="Times New Roman" w:hAnsi="Times New Roman"/>
          <w:sz w:val="23"/>
          <w:szCs w:val="23"/>
          <w:rtl w:val="off"/>
        </w:rPr>
        <w:t>nodrošināt NOMNIEKU ar visiem tiem komunālajiem pakalpojumiem, kuru saņemšana ir vai būs atkarīga no IZNOMĀTĀJA.</w:t>
      </w:r>
    </w:p>
    <w:p w14:paraId="00000043">
      <w:pPr>
        <w:numPr>
          <w:ilvl w:val="1"/>
          <w:numId w:val="2"/>
        </w:numPr>
        <w:ind w:left="0" w:hanging="2"/>
        <w:jc w:val="both"/>
        <w:rPr>
          <w:rFonts w:ascii="Times New Roman" w:cs="Times New Roman" w:hAnsi="Times New Roman"/>
          <w:sz w:val="23"/>
          <w:szCs w:val="23"/>
        </w:rPr>
      </w:pPr>
      <w:r>
        <w:rPr>
          <w:rFonts w:ascii="Times New Roman" w:cs="Times New Roman" w:hAnsi="Times New Roman"/>
          <w:sz w:val="23"/>
          <w:szCs w:val="23"/>
          <w:rtl w:val="off"/>
        </w:rPr>
        <w:t>IZNOMĀTĀJS nav atbildīgs par pārtraukumiem elektroenerģijas, siltuma vai ūdens piegādē, ja šie pārtraukumi nav radušies IZNOMĀTĀJA vainas dēļ.</w:t>
      </w:r>
    </w:p>
    <w:p w14:paraId="00000044">
      <w:pPr>
        <w:ind w:left="0" w:hanging="2"/>
        <w:jc w:val="both"/>
        <w:rPr>
          <w:rFonts w:ascii="Times New Roman" w:cs="Times New Roman" w:hAnsi="Times New Roman"/>
          <w:sz w:val="23"/>
          <w:szCs w:val="23"/>
        </w:rPr>
      </w:pPr>
    </w:p>
    <w:p w14:paraId="00000045">
      <w:pPr>
        <w:numPr>
          <w:ilvl w:val="0"/>
          <w:numId w:val="2"/>
        </w:numPr>
        <w:ind w:left="0" w:hanging="2"/>
        <w:jc w:val="center"/>
        <w:rPr>
          <w:rFonts w:ascii="Times New Roman" w:cs="Times New Roman" w:hAnsi="Times New Roman"/>
          <w:sz w:val="23"/>
          <w:szCs w:val="23"/>
        </w:rPr>
      </w:pPr>
      <w:r>
        <w:rPr>
          <w:rFonts w:ascii="Times New Roman" w:cs="Times New Roman" w:hAnsi="Times New Roman"/>
          <w:b/>
          <w:sz w:val="23"/>
          <w:szCs w:val="23"/>
          <w:rtl w:val="off"/>
        </w:rPr>
        <w:t>NOMNIEKA TIESĪBAS UN PIENĀKUMI</w:t>
      </w:r>
    </w:p>
    <w:p w14:paraId="00000046">
      <w:pPr>
        <w:numPr>
          <w:ilvl w:val="1"/>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NOMNIEKAM ir tiesības:</w:t>
      </w:r>
    </w:p>
    <w:p w14:paraId="00000047">
      <w:pPr>
        <w:numPr>
          <w:ilvl w:val="2"/>
          <w:numId w:val="7"/>
        </w:numPr>
        <w:ind w:left="0" w:hanging="2"/>
        <w:jc w:val="both"/>
        <w:rPr>
          <w:rFonts w:ascii="Times New Roman" w:cs="Times New Roman" w:hAnsi="Times New Roman"/>
          <w:sz w:val="23"/>
          <w:szCs w:val="23"/>
        </w:rPr>
      </w:pPr>
      <w:r>
        <w:rPr>
          <w:rFonts w:ascii="Times New Roman" w:cs="Times New Roman" w:hAnsi="Times New Roman"/>
          <w:sz w:val="23"/>
          <w:szCs w:val="23"/>
          <w:rtl w:val="off"/>
        </w:rPr>
        <w:t>Nomas termiņa laikā netraucēti, izņemot Līguma 4.1.4.punktā noteikto gadījumu, lietot nomāto Nomas objektu Līgumā 1.2.punktā noteiktajam mērķim;</w:t>
      </w:r>
    </w:p>
    <w:p w14:paraId="00000048">
      <w:pPr>
        <w:numPr>
          <w:ilvl w:val="2"/>
          <w:numId w:val="7"/>
        </w:numPr>
        <w:ind w:left="0" w:hanging="2"/>
        <w:jc w:val="both"/>
        <w:rPr>
          <w:rFonts w:ascii="Times New Roman" w:cs="Times New Roman" w:hAnsi="Times New Roman"/>
          <w:sz w:val="23"/>
          <w:szCs w:val="23"/>
        </w:rPr>
      </w:pPr>
      <w:r>
        <w:rPr>
          <w:rFonts w:ascii="Times New Roman" w:cs="Times New Roman" w:hAnsi="Times New Roman"/>
          <w:sz w:val="23"/>
          <w:szCs w:val="23"/>
          <w:rtl w:val="off"/>
        </w:rPr>
        <w:t>saņemot iepriekšēju IZNOMĀTĀJA rakstisku piekrišanu un, ja nepieciešams, saskaņojot ar atbildīgajām valsts un/vai pašvaldības iestādēm, uzstādīt konstrukcijas, papildinājumus, zīmes, veikt labojumus Nomas objektā;</w:t>
      </w:r>
    </w:p>
    <w:p w14:paraId="00000049">
      <w:pPr>
        <w:numPr>
          <w:ilvl w:val="1"/>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 NOMNIEKS nav tiesīgs:</w:t>
      </w:r>
    </w:p>
    <w:p w14:paraId="0000004A">
      <w:pPr>
        <w:numPr>
          <w:ilvl w:val="2"/>
          <w:numId w:val="8"/>
        </w:numPr>
        <w:ind w:left="0" w:hanging="2"/>
        <w:jc w:val="both"/>
        <w:rPr>
          <w:rFonts w:ascii="Times New Roman" w:cs="Times New Roman" w:hAnsi="Times New Roman"/>
          <w:sz w:val="23"/>
          <w:szCs w:val="23"/>
        </w:rPr>
      </w:pPr>
      <w:r>
        <w:rPr>
          <w:rFonts w:ascii="Times New Roman" w:cs="Times New Roman" w:hAnsi="Times New Roman"/>
          <w:sz w:val="23"/>
          <w:szCs w:val="23"/>
          <w:rtl w:val="off"/>
        </w:rPr>
        <w:t>nodot Nomas objektu apakšnomā trešajai personai, ieķīlāt nomas tiesības, slēgt sadarbības līgumus vai cita veida līgumus, kuru rezultātā trešā persona iegūtu tiesības uz Nekustamo īpašumu un to lietošanu;</w:t>
      </w:r>
    </w:p>
    <w:p w14:paraId="0000004B">
      <w:pPr>
        <w:numPr>
          <w:ilvl w:val="2"/>
          <w:numId w:val="8"/>
        </w:numPr>
        <w:ind w:left="0" w:hanging="2"/>
        <w:jc w:val="both"/>
        <w:rPr>
          <w:rFonts w:ascii="Times New Roman" w:cs="Times New Roman" w:hAnsi="Times New Roman"/>
          <w:sz w:val="23"/>
          <w:szCs w:val="23"/>
        </w:rPr>
      </w:pPr>
      <w:r>
        <w:rPr>
          <w:rFonts w:ascii="Times New Roman" w:cs="Times New Roman" w:hAnsi="Times New Roman"/>
          <w:sz w:val="23"/>
          <w:szCs w:val="23"/>
          <w:rtl w:val="off"/>
        </w:rPr>
        <w:t>veikt jebkādus pārveidojumus vai izmaiņas Nomas objektā bez rakstiskas iepriekšējas saskaņošanas ar IZNOMĀTĀJU.</w:t>
      </w:r>
    </w:p>
    <w:p w14:paraId="0000004C">
      <w:pPr>
        <w:numPr>
          <w:ilvl w:val="1"/>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NOMNIEKAM ir pienākums:</w:t>
      </w:r>
    </w:p>
    <w:p w14:paraId="0000004D">
      <w:pPr>
        <w:numPr>
          <w:ilvl w:val="2"/>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Lietot Nomas objektu tikai Līguma 1.2.punktā noteiktajam mērķim un saskaņā ar Līguma noteikumiem;</w:t>
      </w:r>
    </w:p>
    <w:p w14:paraId="0000004E">
      <w:pPr>
        <w:numPr>
          <w:ilvl w:val="2"/>
          <w:numId w:val="13"/>
        </w:numPr>
        <w:tabs>
          <w:tab w:val="left" w:leader="none" w:pos="993"/>
        </w:tabs>
        <w:ind w:left="0" w:hanging="2"/>
        <w:jc w:val="both"/>
        <w:rPr>
          <w:rFonts w:ascii="Times New Roman" w:cs="Times New Roman" w:hAnsi="Times New Roman"/>
          <w:sz w:val="23"/>
          <w:szCs w:val="23"/>
        </w:rPr>
      </w:pPr>
      <w:r>
        <w:rPr>
          <w:rFonts w:ascii="Times New Roman" w:cs="Times New Roman" w:hAnsi="Times New Roman"/>
          <w:sz w:val="23"/>
          <w:szCs w:val="23"/>
          <w:rtl w:val="off"/>
        </w:rPr>
        <w:t>veikt maksājumus atbilstoši Līguma 3.nodaļas noteikumiem;</w:t>
      </w:r>
    </w:p>
    <w:p w14:paraId="0000004F">
      <w:pPr>
        <w:numPr>
          <w:ilvl w:val="2"/>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00000050">
      <w:pPr>
        <w:numPr>
          <w:ilvl w:val="2"/>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organizēt un veikt savu saimniecisko darbību saskaņā ar LR spēkā esošo normatīvo aktu prasībām, patstāvīgi saņemt visas nepieciešamās atļaujas saimnieciskās darbības veikšanai, iekārtu un aprīkojumu lietošanai;</w:t>
      </w:r>
    </w:p>
    <w:p w14:paraId="00000051">
      <w:pPr>
        <w:numPr>
          <w:ilvl w:val="2"/>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ar savu darbību netraucēt ēku, kurā Nomas objekts atrodas, apmeklētāju mieru, netraucēt citus ēkas nomniekus un neapgrūtināt tiem nodoto telpu lietošanu;</w:t>
      </w:r>
    </w:p>
    <w:p w14:paraId="00000052">
      <w:pPr>
        <w:numPr>
          <w:ilvl w:val="2"/>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saudzīgi attiekties pret ēkām, kurā atrodas Nomas objekts, un tām piegulošajām teritorijām;</w:t>
      </w:r>
    </w:p>
    <w:p w14:paraId="00000053">
      <w:pPr>
        <w:numPr>
          <w:ilvl w:val="2"/>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avārijas gadījumā nekavējoties par to informēt IZNOMĀTĀJU un organizācijas, kas nodrošina attiecīgi komunikāciju apkopi, veikt neatliekamos pasākumus avārijas seku likvidēšanai. Nodrošināt IZNOMĀTĀJU ar precīzām ziņām par NOMNIEKA pārstāvi, kurš NOMNIEKA vārdā pilnvarots rīkoties avārijas gadījumos, tai skaitā ārpus darba laika;</w:t>
      </w:r>
    </w:p>
    <w:p w14:paraId="00000054">
      <w:pPr>
        <w:numPr>
          <w:ilvl w:val="2"/>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uzturēt Nomas objektu tehniskā kārtībā, kā arī uzturēt Nomas objektu, tajā izvietotās iekārtas un konstrukcijas, inženiertehniskos tīklus un komunikācijas lietošanai derīgā stāvoklī atbilstoši LR normatīvo aktu prasībām un ekspluatācijas noteikumiem, nepieļaujot telpu tehniskā un vispārējā stāvokļa pasliktināšanos;</w:t>
      </w:r>
    </w:p>
    <w:p w14:paraId="00000055">
      <w:pPr>
        <w:numPr>
          <w:ilvl w:val="2"/>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nodrošināt, lai NOMNIEKA Nomas objektā uzstādītās ierīces, iekārtas un Nomas objekta kopējais noformējums ir vizuāli korekts un atbilstošs ēkas kopējam noformējumam, neuzstādīt Nomas objektā bojātus, salauztus vai citādāk kopējā vidē vizuāli neiederīgus materiālus, ierīces;</w:t>
      </w:r>
    </w:p>
    <w:p w14:paraId="00000056">
      <w:pPr>
        <w:numPr>
          <w:ilvl w:val="2"/>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nepieciešamības gadījumā veikt Nomas objekta labiekārtošanu atbilstoši nomas mērķiem par saviem līdzekļiem, savlaicīgi saskaņojot to ar IZNOMĀTĀJU. </w:t>
      </w:r>
    </w:p>
    <w:p w14:paraId="00000057">
      <w:pPr>
        <w:numPr>
          <w:ilvl w:val="2"/>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netraucēt IZNOMĀTĀJAM vai tā pārstāvjiem veikt Nomas objekta tehnisko pārbaudi ar NOMNIEKU iepriekš saskaņotā laikā, nodrošinot NOMNIEKA pārstāvja piedalīšanos pārbaudes akta sastādīšanā un parakstīšanā.</w:t>
      </w:r>
    </w:p>
    <w:p w14:paraId="00000058">
      <w:pPr>
        <w:numPr>
          <w:ilvl w:val="2"/>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par saviem līdzekļiem veikt ēkas, kurā atrodas Nomas objekts, un/vai tai piegulošās teritorijas sakopšanas darbus, ja NOMNIEKA darbības rezultātā piegružota ēka vai tās apkātrne;</w:t>
      </w:r>
    </w:p>
    <w:p w14:paraId="00000059">
      <w:pPr>
        <w:numPr>
          <w:ilvl w:val="2"/>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0000005A">
      <w:pPr>
        <w:numPr>
          <w:ilvl w:val="2"/>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segt IZNOMĀTĀJAM visus zaudējumus, kuri radušies NOMNIEKA vai ar to saistīto trešo personu vainas vai neuzmanības dēļ.</w:t>
      </w:r>
    </w:p>
    <w:p w14:paraId="0000005B">
      <w:pPr>
        <w:ind w:left="0" w:hanging="2"/>
        <w:jc w:val="both"/>
        <w:rPr>
          <w:rFonts w:ascii="Times New Roman" w:cs="Times New Roman" w:hAnsi="Times New Roman"/>
          <w:sz w:val="23"/>
          <w:szCs w:val="23"/>
        </w:rPr>
      </w:pPr>
    </w:p>
    <w:p w14:paraId="0000005C">
      <w:pPr>
        <w:numPr>
          <w:ilvl w:val="0"/>
          <w:numId w:val="13"/>
        </w:numPr>
        <w:ind w:left="0" w:hanging="2"/>
        <w:jc w:val="center"/>
        <w:rPr>
          <w:rFonts w:ascii="Times New Roman" w:cs="Times New Roman" w:hAnsi="Times New Roman"/>
          <w:sz w:val="23"/>
          <w:szCs w:val="23"/>
        </w:rPr>
      </w:pPr>
      <w:r>
        <w:rPr>
          <w:rFonts w:ascii="Times New Roman" w:cs="Times New Roman" w:hAnsi="Times New Roman"/>
          <w:b/>
          <w:sz w:val="23"/>
          <w:szCs w:val="23"/>
          <w:rtl w:val="off"/>
        </w:rPr>
        <w:t>PUŠU ATBILDĪBA</w:t>
      </w:r>
    </w:p>
    <w:p w14:paraId="0000005D">
      <w:pPr>
        <w:numPr>
          <w:ilvl w:val="1"/>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Puse atbild otrai Pusei par visiem zaudējumiem, ko tā ir nodarījusi otrai Pusei ar Līguma neizpildi vai nepienācīgu izpildi.</w:t>
      </w:r>
    </w:p>
    <w:p w14:paraId="0000005E">
      <w:pPr>
        <w:numPr>
          <w:ilvl w:val="1"/>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Par nomas maksas vai citu Līgumā paredzētu maksājumu samaksas termiņa nokavējumu, ja nokavējumā vainojams NOMNIEKS, IZNOMĀTĀJAM ir tiesības pieprasīt un tādā gadījumā NOMNIEKS maksā IZNOMĀTĀJAM nokavējuma procentus 0,5% </w:t>
      </w:r>
      <w:r>
        <w:rPr>
          <w:rFonts w:ascii="Times New Roman" w:cs="Times New Roman" w:hAnsi="Times New Roman"/>
          <w:sz w:val="22"/>
          <w:szCs w:val="22"/>
          <w:rtl w:val="off"/>
        </w:rPr>
        <w:t xml:space="preserve">(nulle komats pieci procenti) </w:t>
      </w:r>
      <w:r>
        <w:rPr>
          <w:rFonts w:ascii="Times New Roman" w:cs="Times New Roman" w:hAnsi="Times New Roman"/>
          <w:sz w:val="23"/>
          <w:szCs w:val="23"/>
          <w:rtl w:val="off"/>
        </w:rPr>
        <w:t>apmērā no kavētā maksājuma summas par katru nokavēto dienu.</w:t>
      </w:r>
    </w:p>
    <w:p w14:paraId="0000005F">
      <w:pPr>
        <w:numPr>
          <w:ilvl w:val="1"/>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Nokavējuma procentu samaksa neatbrīvo Pusi no saistību izpildes un zaudējumu atlīdzināšanas pienākuma. Zaudējumus Puses var prasīt normatīvajos aktos noteiktajā kārtībā. </w:t>
      </w:r>
    </w:p>
    <w:p w14:paraId="00000060">
      <w:pPr>
        <w:numPr>
          <w:ilvl w:val="1"/>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IZNOMĀTĀJAM ir tiesības piedzīt parādu normatīvajos aktos noteiktajā kārtībā vai nodot parāda piedziņas tiesības trešajai personai.</w:t>
      </w:r>
    </w:p>
    <w:p w14:paraId="00000061">
      <w:pPr>
        <w:numPr>
          <w:ilvl w:val="1"/>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NOMNIEKS ir atbildīgs par ugunsdrošību Nomas objektā.</w:t>
      </w:r>
    </w:p>
    <w:p w14:paraId="00000062">
      <w:pPr>
        <w:spacing w:line="240" w:lineRule="auto"/>
        <w:ind w:left="0" w:hanging="2"/>
        <w:rPr>
          <w:rFonts w:ascii="Times New Roman" w:cs="Times New Roman" w:hAnsi="Times New Roman"/>
          <w:sz w:val="23"/>
          <w:szCs w:val="23"/>
        </w:rPr>
      </w:pPr>
    </w:p>
    <w:p w14:paraId="00000063">
      <w:pPr>
        <w:numPr>
          <w:ilvl w:val="0"/>
          <w:numId w:val="13"/>
        </w:numPr>
        <w:ind w:left="0" w:hanging="2"/>
        <w:jc w:val="center"/>
        <w:rPr>
          <w:rFonts w:ascii="Times New Roman" w:cs="Times New Roman" w:hAnsi="Times New Roman"/>
          <w:sz w:val="23"/>
          <w:szCs w:val="23"/>
        </w:rPr>
      </w:pPr>
      <w:r>
        <w:rPr>
          <w:rFonts w:ascii="Times New Roman" w:cs="Times New Roman" w:hAnsi="Times New Roman"/>
          <w:b/>
          <w:sz w:val="23"/>
          <w:szCs w:val="23"/>
          <w:rtl w:val="off"/>
        </w:rPr>
        <w:t>NEPĀRVARAMA VARA</w:t>
      </w:r>
    </w:p>
    <w:p w14:paraId="00000064">
      <w:pPr>
        <w:numPr>
          <w:ilvl w:val="1"/>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nepakļaujas Pušu saprātīgai kontrolei. Pie šādiem apstākļiem pieskaitāmi ugunsgrēki, dabas stihijas, karadarbība, valsts varas un pārvaldes institūciju darbība u.c.</w:t>
      </w:r>
    </w:p>
    <w:p w14:paraId="00000065">
      <w:pPr>
        <w:numPr>
          <w:ilvl w:val="1"/>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00000066">
      <w:pPr>
        <w:numPr>
          <w:ilvl w:val="1"/>
          <w:numId w:val="13"/>
        </w:numPr>
        <w:ind w:left="0" w:hanging="2"/>
        <w:jc w:val="both"/>
        <w:rPr>
          <w:rFonts w:ascii="Times New Roman" w:cs="Times New Roman" w:hAnsi="Times New Roman"/>
          <w:sz w:val="23"/>
          <w:szCs w:val="23"/>
        </w:rPr>
      </w:pPr>
      <w:r>
        <w:rPr>
          <w:rFonts w:ascii="Times New Roman" w:cs="Times New Roman" w:hAnsi="Times New Roman"/>
          <w:sz w:val="23"/>
          <w:szCs w:val="23"/>
          <w:rtl w:val="off"/>
        </w:rPr>
        <w:t>Ja Līguma nepārvaramas varas apstākļi turpinās ilgāk par 30 (trīsdesmit) kalendārām dienām, jebkura Puse ir tiesīga vienpusēji izbeigt līgumu. Šādā gadījumā nevienai Pusei nav tiesības prasīt no otras Puses zaudējumu atlīdzību.</w:t>
      </w:r>
    </w:p>
    <w:p w14:paraId="00000067">
      <w:pPr>
        <w:ind w:left="0" w:hanging="2"/>
        <w:rPr>
          <w:rFonts w:ascii="Times New Roman" w:cs="Times New Roman" w:hAnsi="Times New Roman"/>
          <w:sz w:val="23"/>
          <w:szCs w:val="23"/>
        </w:rPr>
      </w:pPr>
    </w:p>
    <w:p w14:paraId="00000068">
      <w:pPr>
        <w:numPr>
          <w:ilvl w:val="0"/>
          <w:numId w:val="13"/>
        </w:numPr>
        <w:ind w:left="0" w:hanging="2"/>
        <w:jc w:val="center"/>
        <w:rPr>
          <w:rFonts w:ascii="Times New Roman" w:cs="Times New Roman" w:hAnsi="Times New Roman"/>
          <w:sz w:val="23"/>
          <w:szCs w:val="23"/>
        </w:rPr>
      </w:pPr>
      <w:r>
        <w:rPr>
          <w:rFonts w:ascii="Times New Roman" w:cs="Times New Roman" w:hAnsi="Times New Roman"/>
          <w:b/>
          <w:sz w:val="23"/>
          <w:szCs w:val="23"/>
          <w:rtl w:val="off"/>
        </w:rPr>
        <w:t>CITI NOTEIKUMI</w:t>
      </w:r>
    </w:p>
    <w:p w14:paraId="00000069">
      <w:pPr>
        <w:numPr>
          <w:ilvl w:val="1"/>
          <w:numId w:val="5"/>
        </w:numPr>
        <w:ind w:left="0" w:hanging="2"/>
        <w:jc w:val="both"/>
        <w:rPr>
          <w:rFonts w:ascii="Times New Roman" w:cs="Times New Roman" w:hAnsi="Times New Roman"/>
          <w:sz w:val="23"/>
          <w:szCs w:val="23"/>
        </w:rPr>
      </w:pPr>
      <w:r>
        <w:rPr>
          <w:rFonts w:ascii="Times New Roman" w:cs="Times New Roman" w:hAnsi="Times New Roman"/>
          <w:sz w:val="23"/>
          <w:szCs w:val="23"/>
          <w:rtl w:val="off"/>
        </w:rPr>
        <w:t>Puses var grozīt un papildināt Līgumu, par to savstarpēji vienojoties. Šādi grozījumi un papildinājumi ir jānoformē rakstveidā, jāparaksta abām Pusēm un ir neatņemama Līguma sastāvdaļa. Izņēmums no šīs kārtības norādīts Līguma 3.2.punktā.</w:t>
      </w:r>
    </w:p>
    <w:p w14:paraId="0000006A">
      <w:pPr>
        <w:numPr>
          <w:ilvl w:val="1"/>
          <w:numId w:val="5"/>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Par Līguma izpildi atbildīgā persona no IZNOMĀTĀJA puses ir </w:t>
      </w:r>
      <w:r>
        <w:rPr>
          <w:rFonts w:ascii="Times New Roman" w:cs="Times New Roman" w:hAnsi="Times New Roman"/>
          <w:b/>
          <w:sz w:val="23"/>
          <w:szCs w:val="23"/>
          <w:rtl w:val="off"/>
        </w:rPr>
        <w:t>_________________</w:t>
      </w:r>
      <w:r>
        <w:rPr>
          <w:rFonts w:ascii="Times New Roman" w:cs="Times New Roman" w:hAnsi="Times New Roman"/>
          <w:sz w:val="23"/>
          <w:szCs w:val="23"/>
          <w:rtl w:val="off"/>
        </w:rPr>
        <w:t>.</w:t>
      </w:r>
    </w:p>
    <w:p w14:paraId="0000006B">
      <w:pPr>
        <w:numPr>
          <w:ilvl w:val="1"/>
          <w:numId w:val="5"/>
        </w:numPr>
        <w:ind w:left="0" w:hanging="2"/>
        <w:jc w:val="both"/>
        <w:rPr>
          <w:rFonts w:ascii="Times New Roman" w:cs="Times New Roman" w:hAnsi="Times New Roman"/>
          <w:sz w:val="22"/>
          <w:szCs w:val="22"/>
        </w:rPr>
      </w:pPr>
      <w:r>
        <w:rPr>
          <w:rFonts w:ascii="Times New Roman" w:cs="Times New Roman" w:hAnsi="Times New Roman"/>
          <w:sz w:val="23"/>
          <w:szCs w:val="23"/>
          <w:rtl w:val="off"/>
        </w:rPr>
        <w:t xml:space="preserve">Par Līguma izpildi atbildīgā persona no NOMNIEKA puses ir </w:t>
      </w:r>
      <w:r>
        <w:rPr>
          <w:rFonts w:ascii="Times New Roman" w:cs="Times New Roman" w:hAnsi="Times New Roman"/>
          <w:b/>
          <w:sz w:val="23"/>
          <w:szCs w:val="23"/>
          <w:rtl w:val="off"/>
        </w:rPr>
        <w:t>_____________________</w:t>
      </w:r>
      <w:r>
        <w:rPr>
          <w:rFonts w:ascii="Times New Roman" w:cs="Times New Roman" w:hAnsi="Times New Roman"/>
          <w:sz w:val="23"/>
          <w:szCs w:val="23"/>
          <w:rtl w:val="off"/>
        </w:rPr>
        <w:t>.</w:t>
      </w:r>
    </w:p>
    <w:p w14:paraId="0000006C">
      <w:pPr>
        <w:numPr>
          <w:ilvl w:val="1"/>
          <w:numId w:val="5"/>
        </w:numPr>
        <w:ind w:left="0" w:hanging="2"/>
        <w:jc w:val="both"/>
        <w:rPr>
          <w:rFonts w:ascii="Times New Roman" w:cs="Times New Roman" w:hAnsi="Times New Roman"/>
          <w:sz w:val="23"/>
          <w:szCs w:val="23"/>
        </w:rPr>
      </w:pPr>
      <w:r>
        <w:rPr>
          <w:rFonts w:ascii="Times New Roman" w:cs="Times New Roman" w:hAnsi="Times New Roman"/>
          <w:sz w:val="23"/>
          <w:szCs w:val="23"/>
          <w:rtl w:val="off"/>
        </w:rPr>
        <w:t>Par Līguma izpildi atbildīgās personas ir pilnvarotas parakstīt telpu pieņemšanas – nodošanas aktus.</w:t>
      </w:r>
    </w:p>
    <w:p w14:paraId="0000006D">
      <w:pPr>
        <w:numPr>
          <w:ilvl w:val="1"/>
          <w:numId w:val="5"/>
        </w:numPr>
        <w:ind w:left="0" w:hanging="2"/>
        <w:jc w:val="both"/>
        <w:rPr>
          <w:rFonts w:ascii="Times New Roman" w:cs="Times New Roman" w:hAnsi="Times New Roman"/>
          <w:sz w:val="23"/>
          <w:szCs w:val="23"/>
        </w:rPr>
      </w:pPr>
      <w:r>
        <w:rPr>
          <w:rFonts w:ascii="Times New Roman" w:cs="Times New Roman" w:hAnsi="Times New Roman"/>
          <w:sz w:val="23"/>
          <w:szCs w:val="23"/>
          <w:rtl w:val="off"/>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0000006E">
      <w:pPr>
        <w:numPr>
          <w:ilvl w:val="1"/>
          <w:numId w:val="5"/>
        </w:numPr>
        <w:tabs>
          <w:tab w:val="left" w:leader="none" w:pos="567"/>
        </w:tabs>
        <w:ind w:left="0" w:hanging="2"/>
        <w:jc w:val="both"/>
        <w:rPr>
          <w:rFonts w:ascii="Times New Roman" w:cs="Times New Roman" w:hAnsi="Times New Roman"/>
          <w:sz w:val="23"/>
          <w:szCs w:val="23"/>
        </w:rPr>
      </w:pPr>
      <w:r>
        <w:rPr>
          <w:rFonts w:ascii="Times New Roman" w:cs="Times New Roman" w:hAnsi="Times New Roman"/>
          <w:sz w:val="23"/>
          <w:szCs w:val="23"/>
          <w:rtl w:val="off"/>
        </w:rPr>
        <w:t>Tās Pušu attiecības, kuras nav atrunātas Līguma tekstā, tiek regulētas saskaņā ar LR spēkā esošajiem normatīvajiem aktiem.</w:t>
      </w:r>
    </w:p>
    <w:p w14:paraId="0000006F">
      <w:pPr>
        <w:numPr>
          <w:ilvl w:val="1"/>
          <w:numId w:val="5"/>
        </w:numPr>
        <w:tabs>
          <w:tab w:val="left" w:leader="none" w:pos="567"/>
        </w:tabs>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Lai nodrošinātu pienācīgu ar Līgumu noteikto saistību izpildi, Pusēm ir pienākums 5 (piecu) kalendāro dienu laikā rakstiski brīdināt vienai otru par savas adreses vai citu rekvizītu maiņu. </w:t>
      </w:r>
    </w:p>
    <w:p w14:paraId="00000070">
      <w:pPr>
        <w:numPr>
          <w:ilvl w:val="1"/>
          <w:numId w:val="5"/>
        </w:numPr>
        <w:tabs>
          <w:tab w:val="left" w:leader="none" w:pos="567"/>
        </w:tabs>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Ja kāds no Līguma noteikumiem zaudē spēku normatīvo aktu dēļ, pārējie Līguma noteikumi saglabā spēku. </w:t>
      </w:r>
    </w:p>
    <w:p w14:paraId="00000071">
      <w:pPr>
        <w:numPr>
          <w:ilvl w:val="1"/>
          <w:numId w:val="5"/>
        </w:numPr>
        <w:tabs>
          <w:tab w:val="left" w:leader="none" w:pos="567"/>
        </w:tabs>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Līgums sastādīts un parakstīts uz 5 (piecām) lapām latviešu valodā 2 (divos) eksemplāros ar vienādu juridisku spēku, no kuriem viens glabājas pie IZNOMĀTĀJA un otrs pie NOMNIEKA. </w:t>
      </w:r>
    </w:p>
    <w:p w14:paraId="00000072">
      <w:pPr>
        <w:numPr>
          <w:ilvl w:val="1"/>
          <w:numId w:val="16"/>
        </w:numPr>
        <w:tabs>
          <w:tab w:val="left" w:leader="none" w:pos="567"/>
        </w:tabs>
        <w:ind w:left="0" w:hanging="2"/>
        <w:jc w:val="both"/>
        <w:rPr>
          <w:rFonts w:ascii="Times New Roman" w:cs="Times New Roman" w:hAnsi="Times New Roman"/>
          <w:sz w:val="23"/>
          <w:szCs w:val="23"/>
        </w:rPr>
      </w:pPr>
      <w:r>
        <w:rPr>
          <w:rFonts w:ascii="Times New Roman" w:cs="Times New Roman" w:hAnsi="Times New Roman"/>
          <w:sz w:val="23"/>
          <w:szCs w:val="23"/>
          <w:rtl w:val="off"/>
        </w:rPr>
        <w:t>Līgumam ir pievienots 1 (viens) pielikums uz 1 (vienas) lapas, kas ir Līguma būtiska un neatņemama sastāvdaļa - Pielikums Nr.1 „Nomas objekta plāns”.</w:t>
      </w:r>
    </w:p>
    <w:p w14:paraId="00000073">
      <w:pPr>
        <w:ind w:left="0" w:hanging="2"/>
        <w:rPr>
          <w:rFonts w:ascii="Times New Roman" w:cs="Times New Roman" w:hAnsi="Times New Roman"/>
          <w:sz w:val="23"/>
          <w:szCs w:val="23"/>
        </w:rPr>
      </w:pPr>
    </w:p>
    <w:p w14:paraId="00000074">
      <w:pPr>
        <w:numPr>
          <w:ilvl w:val="0"/>
          <w:numId w:val="5"/>
        </w:numPr>
        <w:ind w:left="0" w:hanging="2"/>
        <w:jc w:val="center"/>
        <w:rPr>
          <w:rFonts w:ascii="Times New Roman" w:cs="Times New Roman" w:hAnsi="Times New Roman"/>
          <w:sz w:val="23"/>
          <w:szCs w:val="23"/>
        </w:rPr>
      </w:pPr>
      <w:r>
        <w:rPr>
          <w:rFonts w:ascii="Times New Roman" w:cs="Times New Roman" w:hAnsi="Times New Roman"/>
          <w:b/>
          <w:sz w:val="23"/>
          <w:szCs w:val="23"/>
          <w:rtl w:val="off"/>
        </w:rPr>
        <w:t>PUŠU PARAKSTI UN REKVIZĪTI</w:t>
      </w:r>
    </w:p>
    <w:p w14:paraId="00000075">
      <w:pPr>
        <w:numPr>
          <w:ilvl w:val="1"/>
          <w:numId w:val="9"/>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IZNOMĀTĀJS: Sabiedrība ar ierobežotu atbildību „Latvijas Nacionālais sporta centrs”, adrese: Augšiela 1, Rīga, LV-1009, tālrunis 67844800, elektroniskā pasta adrese: </w:t>
      </w:r>
      <w:r>
        <w:rPr>
          <w:rFonts w:ascii="Times New Roman" w:cs="Times New Roman" w:hAnsi="Times New Roman"/>
          <w:color w:val="0000ff"/>
          <w:sz w:val="23"/>
          <w:szCs w:val="23"/>
          <w:u w:val="single"/>
          <w:vertAlign w:val="baseline"/>
          <w:rtl w:val="off"/>
        </w:rPr>
        <w:fldChar w:fldCharType="begin"/>
      </w:r>
      <w:r>
        <w:rPr>
          <w:rFonts w:ascii="Times New Roman" w:cs="Times New Roman" w:hAnsi="Times New Roman"/>
          <w:color w:val="0000ff"/>
          <w:sz w:val="23"/>
          <w:szCs w:val="23"/>
          <w:u w:val="single"/>
          <w:vertAlign w:val="baseline"/>
          <w:rtl w:val="off"/>
        </w:rPr>
        <w:instrText xml:space="preserve">HYPERLINK "mailto:info@lnsc.lv" </w:instrText>
      </w:r>
      <w:r>
        <w:rPr>
          <w:rFonts w:ascii="Times New Roman" w:cs="Times New Roman" w:hAnsi="Times New Roman"/>
          <w:color w:val="0000ff"/>
          <w:sz w:val="23"/>
          <w:szCs w:val="23"/>
          <w:u w:val="single"/>
          <w:vertAlign w:val="baseline"/>
          <w:rtl w:val="off"/>
        </w:rPr>
        <w:fldChar w:fldCharType="separate"/>
      </w:r>
      <w:r>
        <w:rPr>
          <w:rFonts w:ascii="Times New Roman" w:cs="Times New Roman" w:hAnsi="Times New Roman"/>
          <w:color w:val="0000ff"/>
          <w:sz w:val="23"/>
          <w:szCs w:val="23"/>
          <w:u w:val="single"/>
          <w:vertAlign w:val="baseline"/>
          <w:rtl w:val="off"/>
        </w:rPr>
        <w:t>info@lnsc.lv</w:t>
      </w:r>
      <w:r>
        <w:rPr>
          <w:rFonts w:ascii="Times New Roman" w:cs="Times New Roman" w:hAnsi="Times New Roman"/>
          <w:sz w:val="23"/>
          <w:szCs w:val="23"/>
          <w:rtl w:val="off"/>
        </w:rPr>
        <w:fldChar w:fldCharType="end"/>
      </w:r>
      <w:r>
        <w:rPr>
          <w:rFonts w:ascii="Times New Roman" w:cs="Times New Roman" w:hAnsi="Times New Roman"/>
          <w:sz w:val="23"/>
          <w:szCs w:val="23"/>
          <w:rtl w:val="off"/>
        </w:rPr>
        <w:t>, reģ. Nr.LV50003140671, konts LV40 UNLA 0050 0092 8700 8, AS “SEB banka”, bankas kods: UNLALV2X.</w:t>
      </w:r>
    </w:p>
    <w:p w14:paraId="00000076">
      <w:pPr>
        <w:numPr>
          <w:ilvl w:val="1"/>
          <w:numId w:val="9"/>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NOMNIEKS: _____________________. </w:t>
      </w:r>
    </w:p>
    <w:p w14:paraId="00000077">
      <w:pPr>
        <w:ind w:left="0" w:firstLine="0"/>
        <w:jc w:val="both"/>
        <w:rPr>
          <w:rFonts w:ascii="Times New Roman" w:cs="Times New Roman" w:hAnsi="Times New Roman"/>
          <w:sz w:val="23"/>
          <w:szCs w:val="23"/>
        </w:rPr>
      </w:pPr>
    </w:p>
    <w:p w14:paraId="00000078">
      <w:pPr>
        <w:ind w:left="0" w:firstLine="0"/>
        <w:jc w:val="both"/>
        <w:rPr>
          <w:rFonts w:ascii="Times New Roman" w:cs="Times New Roman" w:hAnsi="Times New Roman"/>
          <w:sz w:val="23"/>
          <w:szCs w:val="23"/>
        </w:rPr>
      </w:pPr>
    </w:p>
    <w:p w14:paraId="00000079">
      <w:pPr>
        <w:tabs>
          <w:tab w:val="left" w:leader="none" w:pos="4536"/>
        </w:tabs>
        <w:ind w:left="0" w:hanging="2"/>
        <w:jc w:val="both"/>
        <w:rPr>
          <w:rFonts w:ascii="Times New Roman" w:cs="Times New Roman" w:hAnsi="Times New Roman"/>
          <w:sz w:val="23"/>
          <w:szCs w:val="23"/>
        </w:rPr>
      </w:pPr>
      <w:r>
        <w:rPr>
          <w:rFonts w:ascii="Times New Roman" w:cs="Times New Roman" w:hAnsi="Times New Roman"/>
          <w:sz w:val="23"/>
          <w:szCs w:val="23"/>
          <w:rtl w:val="off"/>
        </w:rPr>
        <w:t>IZNOMĀTĀJS:</w:t>
        <w:tab/>
        <w:tab/>
        <w:t>NOMNIEKS:</w:t>
      </w:r>
    </w:p>
    <w:p w14:paraId="0000007A">
      <w:pPr>
        <w:ind w:left="0" w:hanging="2"/>
        <w:jc w:val="both"/>
        <w:rPr>
          <w:rFonts w:ascii="Times New Roman" w:cs="Times New Roman" w:hAnsi="Times New Roman"/>
          <w:sz w:val="23"/>
          <w:szCs w:val="23"/>
        </w:rPr>
      </w:pPr>
    </w:p>
    <w:p w14:paraId="0000007B">
      <w:pPr>
        <w:tabs>
          <w:tab w:val="left" w:leader="none" w:pos="4536"/>
        </w:tabs>
        <w:ind w:left="0" w:hanging="2"/>
        <w:jc w:val="both"/>
        <w:rPr>
          <w:rFonts w:ascii="Times New Roman" w:cs="Times New Roman" w:hAnsi="Times New Roman"/>
          <w:sz w:val="23"/>
          <w:szCs w:val="23"/>
        </w:rPr>
      </w:pPr>
      <w:r>
        <w:rPr>
          <w:rFonts w:ascii="Times New Roman" w:cs="Times New Roman" w:hAnsi="Times New Roman"/>
          <w:sz w:val="23"/>
          <w:szCs w:val="23"/>
          <w:rtl w:val="off"/>
        </w:rPr>
        <w:t>__________________</w:t>
        <w:tab/>
        <w:tab/>
        <w:t>____________________</w:t>
      </w:r>
    </w:p>
    <w:p w14:paraId="0000007C">
      <w:p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 D. Nātriņš</w:t>
        <w:tab/>
        <w:tab/>
        <w:tab/>
        <w:tab/>
        <w:t xml:space="preserve">            </w:t>
        <w:tab/>
        <w:tab/>
      </w:r>
    </w:p>
    <w:p w14:paraId="0000007D">
      <w:p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 valdes priekšsēdētājs</w:t>
        <w:tab/>
        <w:tab/>
        <w:tab/>
        <w:t xml:space="preserve">                            </w:t>
        <w:tab/>
        <w:tab/>
        <w:tab/>
        <w:tab/>
        <w:t xml:space="preserve">                                  </w:t>
      </w:r>
    </w:p>
    <w:p w14:paraId="0000007E">
      <w:pPr>
        <w:tabs>
          <w:tab w:val="left" w:leader="none" w:pos="5105"/>
        </w:tabs>
        <w:ind w:left="0" w:hanging="2"/>
        <w:jc w:val="both"/>
        <w:rPr>
          <w:rFonts w:ascii="Times New Roman" w:cs="Times New Roman" w:hAnsi="Times New Roman"/>
          <w:sz w:val="23"/>
          <w:szCs w:val="23"/>
        </w:rPr>
      </w:pPr>
    </w:p>
    <w:p w14:paraId="0000007F">
      <w:pPr>
        <w:ind w:left="0" w:hanging="2"/>
        <w:jc w:val="both"/>
        <w:rPr>
          <w:rFonts w:ascii="Times New Roman" w:cs="Times New Roman" w:hAnsi="Times New Roman"/>
          <w:sz w:val="23"/>
          <w:szCs w:val="23"/>
        </w:rPr>
      </w:pPr>
    </w:p>
    <w:p w14:paraId="00000080">
      <w:pPr>
        <w:ind w:left="0" w:hanging="2"/>
        <w:jc w:val="both"/>
        <w:rPr>
          <w:rFonts w:ascii="Times New Roman" w:cs="Times New Roman" w:hAnsi="Times New Roman"/>
          <w:sz w:val="23"/>
          <w:szCs w:val="23"/>
        </w:rPr>
      </w:pPr>
    </w:p>
    <w:p w14:paraId="00000081">
      <w:pPr>
        <w:ind w:left="0" w:firstLine="0"/>
        <w:rPr>
          <w:rFonts w:ascii="Times New Roman" w:cs="Times New Roman" w:hAnsi="Times New Roman"/>
        </w:rPr>
      </w:pPr>
    </w:p>
    <w:p w14:paraId="00000082">
      <w:pPr>
        <w:ind w:left="0" w:hanging="2"/>
        <w:rPr>
          <w:rFonts w:ascii="Times New Roman" w:cs="Times New Roman" w:hAnsi="Times New Roman"/>
        </w:rPr>
      </w:pPr>
    </w:p>
    <w:p w14:paraId="00000083">
      <w:pPr>
        <w:ind w:left="0" w:hanging="2"/>
        <w:rPr>
          <w:rFonts w:ascii="Times New Roman" w:cs="Times New Roman" w:hAnsi="Times New Roman"/>
        </w:rPr>
      </w:pPr>
    </w:p>
    <w:p w14:paraId="00000084">
      <w:pPr>
        <w:ind w:left="0" w:hanging="2"/>
        <w:rPr>
          <w:rFonts w:ascii="Times New Roman" w:cs="Times New Roman" w:hAnsi="Times New Roman"/>
        </w:rPr>
      </w:pPr>
    </w:p>
    <w:p w14:paraId="00000085">
      <w:pPr>
        <w:ind w:left="0" w:hanging="2"/>
        <w:rPr>
          <w:rFonts w:ascii="Times New Roman" w:cs="Times New Roman" w:hAnsi="Times New Roman"/>
        </w:rPr>
      </w:pPr>
    </w:p>
    <w:p w14:paraId="00000086">
      <w:pPr>
        <w:ind w:left="0" w:hanging="2"/>
        <w:rPr>
          <w:rFonts w:ascii="Times New Roman" w:cs="Times New Roman" w:hAnsi="Times New Roman"/>
        </w:rPr>
      </w:pPr>
    </w:p>
    <w:p w14:paraId="00000087">
      <w:pPr>
        <w:ind w:left="0" w:hanging="2"/>
        <w:rPr>
          <w:rFonts w:ascii="Times New Roman" w:cs="Times New Roman" w:hAnsi="Times New Roman"/>
        </w:rPr>
      </w:pPr>
    </w:p>
    <w:p w14:paraId="00000088">
      <w:pPr>
        <w:ind w:left="0" w:hanging="2"/>
        <w:rPr>
          <w:rFonts w:ascii="Times New Roman" w:cs="Times New Roman" w:hAnsi="Times New Roman"/>
        </w:rPr>
      </w:pPr>
    </w:p>
    <w:p w14:paraId="00000089">
      <w:pPr>
        <w:ind w:left="0" w:hanging="2"/>
        <w:rPr>
          <w:rFonts w:ascii="Times New Roman" w:cs="Times New Roman" w:hAnsi="Times New Roman"/>
        </w:rPr>
      </w:pPr>
    </w:p>
    <w:p w14:paraId="0000008A">
      <w:pPr>
        <w:ind w:left="0" w:hanging="2"/>
        <w:rPr>
          <w:rFonts w:ascii="Times New Roman" w:cs="Times New Roman" w:hAnsi="Times New Roman"/>
        </w:rPr>
      </w:pPr>
    </w:p>
    <w:p w14:paraId="0000008B">
      <w:pPr>
        <w:ind w:left="0" w:hanging="2"/>
        <w:rPr>
          <w:rFonts w:ascii="Times New Roman" w:cs="Times New Roman" w:hAnsi="Times New Roman"/>
        </w:rPr>
      </w:pPr>
    </w:p>
    <w:p w14:paraId="0000008C">
      <w:pPr>
        <w:ind w:left="0" w:hanging="2"/>
        <w:rPr>
          <w:rFonts w:ascii="Times New Roman" w:cs="Times New Roman" w:hAnsi="Times New Roman"/>
        </w:rPr>
      </w:pPr>
    </w:p>
    <w:p w14:paraId="0000008D">
      <w:pPr>
        <w:ind w:left="0" w:hanging="2"/>
        <w:rPr>
          <w:rFonts w:ascii="Times New Roman" w:cs="Times New Roman" w:hAnsi="Times New Roman"/>
        </w:rPr>
      </w:pPr>
    </w:p>
    <w:p w14:paraId="0000008E">
      <w:pPr>
        <w:ind w:left="0" w:hanging="2"/>
        <w:rPr>
          <w:rFonts w:ascii="Times New Roman" w:cs="Times New Roman" w:hAnsi="Times New Roman"/>
        </w:rPr>
      </w:pPr>
    </w:p>
    <w:p w14:paraId="0000008F">
      <w:pPr>
        <w:ind w:left="0" w:hanging="2"/>
        <w:rPr>
          <w:rFonts w:ascii="Times New Roman" w:cs="Times New Roman" w:hAnsi="Times New Roman"/>
        </w:rPr>
      </w:pPr>
    </w:p>
    <w:p w14:paraId="00000090">
      <w:pPr>
        <w:ind w:left="0" w:hanging="2"/>
        <w:rPr>
          <w:rFonts w:ascii="Times New Roman" w:cs="Times New Roman" w:hAnsi="Times New Roman"/>
        </w:rPr>
      </w:pPr>
    </w:p>
    <w:p w14:paraId="00000091">
      <w:pPr>
        <w:ind w:left="0" w:hanging="2"/>
        <w:rPr>
          <w:rFonts w:ascii="Times New Roman" w:cs="Times New Roman" w:hAnsi="Times New Roman"/>
        </w:rPr>
      </w:pPr>
    </w:p>
    <w:p w14:paraId="00000092">
      <w:pPr>
        <w:ind w:left="0" w:hanging="2"/>
        <w:rPr>
          <w:rFonts w:ascii="Times New Roman" w:cs="Times New Roman" w:hAnsi="Times New Roman"/>
        </w:rPr>
      </w:pPr>
    </w:p>
    <w:p w14:paraId="00000093">
      <w:pPr>
        <w:ind w:left="0" w:hanging="2"/>
        <w:rPr>
          <w:rFonts w:ascii="Times New Roman" w:cs="Times New Roman" w:hAnsi="Times New Roman"/>
        </w:rPr>
      </w:pPr>
    </w:p>
    <w:p w14:paraId="00000094">
      <w:pPr>
        <w:ind w:left="0" w:hanging="2"/>
        <w:rPr>
          <w:rFonts w:ascii="Times New Roman" w:cs="Times New Roman" w:hAnsi="Times New Roman"/>
        </w:rPr>
      </w:pPr>
    </w:p>
    <w:p w14:paraId="00000095">
      <w:pPr>
        <w:ind w:left="0" w:hanging="2"/>
        <w:rPr>
          <w:rFonts w:ascii="Times New Roman" w:cs="Times New Roman" w:hAnsi="Times New Roman"/>
        </w:rPr>
      </w:pPr>
    </w:p>
    <w:p w14:paraId="00000096">
      <w:pPr>
        <w:ind w:left="0" w:hanging="2"/>
        <w:rPr>
          <w:rFonts w:ascii="Times New Roman" w:cs="Times New Roman" w:hAnsi="Times New Roman"/>
        </w:rPr>
      </w:pPr>
    </w:p>
    <w:p w14:paraId="00000097">
      <w:pPr>
        <w:ind w:left="0" w:hanging="2"/>
        <w:rPr>
          <w:rFonts w:ascii="Times New Roman" w:cs="Times New Roman" w:hAnsi="Times New Roman"/>
        </w:rPr>
      </w:pPr>
    </w:p>
    <w:p w14:paraId="00000098">
      <w:pPr>
        <w:ind w:left="0" w:hanging="2"/>
        <w:rPr>
          <w:rFonts w:ascii="Times New Roman" w:cs="Times New Roman" w:hAnsi="Times New Roman"/>
        </w:rPr>
      </w:pPr>
    </w:p>
    <w:p w14:paraId="00000099">
      <w:pPr>
        <w:ind w:left="0" w:hanging="2"/>
        <w:rPr>
          <w:rFonts w:ascii="Times New Roman" w:cs="Times New Roman" w:hAnsi="Times New Roman"/>
        </w:rPr>
      </w:pPr>
    </w:p>
    <w:p w14:paraId="0000009A">
      <w:pPr>
        <w:ind w:left="0" w:hanging="2"/>
        <w:rPr>
          <w:rFonts w:ascii="Times New Roman" w:cs="Times New Roman" w:hAnsi="Times New Roman"/>
        </w:rPr>
      </w:pPr>
    </w:p>
    <w:p w14:paraId="0000009B">
      <w:pPr>
        <w:ind w:left="0" w:hanging="2"/>
        <w:rPr>
          <w:rFonts w:ascii="Times New Roman" w:cs="Times New Roman" w:hAnsi="Times New Roman"/>
        </w:rPr>
      </w:pPr>
    </w:p>
    <w:p w14:paraId="0000009C">
      <w:pPr>
        <w:ind w:left="0" w:hanging="2"/>
        <w:rPr>
          <w:rFonts w:ascii="Times New Roman" w:cs="Times New Roman" w:hAnsi="Times New Roman"/>
        </w:rPr>
      </w:pPr>
    </w:p>
    <w:p w14:paraId="0000009D">
      <w:pPr>
        <w:ind w:left="0" w:hanging="2"/>
        <w:rPr>
          <w:rFonts w:ascii="Times New Roman" w:cs="Times New Roman" w:hAnsi="Times New Roman"/>
        </w:rPr>
      </w:pPr>
    </w:p>
    <w:p w14:paraId="0000009E">
      <w:pPr>
        <w:ind w:left="0" w:hanging="2"/>
        <w:rPr>
          <w:rFonts w:ascii="Times New Roman" w:cs="Times New Roman" w:hAnsi="Times New Roman"/>
        </w:rPr>
      </w:pPr>
    </w:p>
    <w:p w14:paraId="0000009F">
      <w:pPr>
        <w:ind w:left="0" w:hanging="2"/>
        <w:rPr>
          <w:rFonts w:ascii="Times New Roman" w:cs="Times New Roman" w:hAnsi="Times New Roman"/>
        </w:rPr>
      </w:pPr>
    </w:p>
    <w:p w14:paraId="000000A0">
      <w:pPr>
        <w:ind w:left="0" w:hanging="2"/>
        <w:rPr>
          <w:rFonts w:ascii="Times New Roman" w:cs="Times New Roman" w:hAnsi="Times New Roman"/>
        </w:rPr>
      </w:pPr>
    </w:p>
    <w:p w14:paraId="000000A1">
      <w:pPr>
        <w:ind w:left="0" w:hanging="2"/>
        <w:rPr>
          <w:rFonts w:ascii="Times New Roman" w:cs="Times New Roman" w:hAnsi="Times New Roman"/>
        </w:rPr>
      </w:pPr>
    </w:p>
    <w:p w14:paraId="000000A2">
      <w:pPr>
        <w:keepNext w:val="off"/>
        <w:keepLines w:val="off"/>
        <w:pageBreakBefore w:val="off"/>
        <w:widowControl w:val="on"/>
        <w:numPr>
          <w:ilvl w:val="0"/>
          <w:numId w:val="11"/>
        </w:numPr>
        <w:pBdr>
          <w:top w:val="nil" w:sz="4" w:space="0"/>
          <w:left w:val="nil" w:sz="4" w:space="0"/>
          <w:bottom w:val="nil" w:sz="4" w:space="0"/>
          <w:right w:val="nil" w:sz="4" w:space="0"/>
          <w:between w:val="nil" w:sz="4" w:space="0"/>
        </w:pBdr>
        <w:shd w:val="clear" w:fill="auto"/>
        <w:spacing w:before="0" w:after="0" w:line="259" w:lineRule="auto"/>
        <w:ind w:left="358" w:right="0" w:hanging="360"/>
        <w:jc w:val="left"/>
        <w:rPr>
          <w:rFonts w:ascii="Times New Roman" w:cs="Times New Roman" w:hAnsi="Times New Roman"/>
        </w:rPr>
      </w:pPr>
      <w:r>
        <w:rPr>
          <w:rFonts w:ascii="Times New Roman" w:cs="Times New Roman" w:hAnsi="Times New Roman"/>
          <w:i w:val="off"/>
          <w:smallCaps w:val="off"/>
          <w:color w:val="000000"/>
          <w:sz w:val="24"/>
          <w:szCs w:val="24"/>
          <w:u w:val="none"/>
          <w:shd w:val="clear" w:fill="auto"/>
          <w:vertAlign w:val="baseline"/>
          <w:rtl w:val="off"/>
        </w:rPr>
        <w:t>Pielikums Telpu grupas telpu plāns</w:t>
      </w:r>
    </w:p>
    <w:p w14:paraId="000000A3">
      <w:pPr>
        <w:ind w:left="0" w:firstLine="0"/>
        <w:rPr>
          <w:rFonts w:ascii="Times New Roman" w:cs="Times New Roman" w:hAnsi="Times New Roman"/>
        </w:rPr>
      </w:pPr>
    </w:p>
    <w:p w14:paraId="000000A4">
      <w:pPr>
        <w:ind w:left="0" w:firstLine="0"/>
        <w:rPr>
          <w:rFonts w:ascii="Times New Roman" w:cs="Times New Roman" w:hAnsi="Times New Roman"/>
        </w:rPr>
      </w:pPr>
    </w:p>
    <w:p w14:paraId="000000A5">
      <w:pPr>
        <w:ind w:left="0" w:hanging="2"/>
        <w:rPr>
          <w:rFonts w:ascii="Times New Roman" w:cs="Times New Roman" w:hAnsi="Times New Roman"/>
        </w:rPr>
      </w:pPr>
      <w:r>
        <w:rPr>
          <w:rFonts w:ascii="Times New Roman" w:cs="Times New Roman" w:hAnsi="Times New Roman"/>
        </w:rPr>
        <w:drawing xmlns:mc="http://schemas.openxmlformats.org/markup-compatibility/2006">
          <wp:inline distT="0" distB="0" distL="0" distR="0">
            <wp:extent cx="5942965" cy="3047365"/>
            <wp:effectExtent l="0" t="0" r="0" b="0"/>
            <wp:docPr id="3"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4"/>
                    <a:srcRect/>
                    <a:stretch>
                      <a:fillRect/>
                    </a:stretch>
                  </pic:blipFill>
                  <pic:spPr>
                    <a:xfrm>
                      <a:off x="0" y="0"/>
                      <a:ext cx="5942965" cy="3047365"/>
                    </a:xfrm>
                    <a:prstGeom prst="rect">
                      <a:avLst/>
                    </a:prstGeom>
                  </pic:spPr>
                </pic:pic>
              </a:graphicData>
            </a:graphic>
          </wp:inline>
        </w:drawing>
      </w:r>
    </w:p>
    <w:sectPr>
      <w:headerReference w:type="default" r:id="rId15"/>
      <w:footerReference w:type="default" r:id="rId16"/>
      <w:pgSz w:w="11906" w:h="16838" w:orient="portrait"/>
      <w:pgMar w:top="709" w:right="1133" w:bottom="1276" w:left="1701" w:header="709" w:footer="709"/>
      <w:pgNumType w:start="1"/>
      <w:titlePg/>
    </w:sectPr>
  </w:body>
</w:document>
</file>

<file path=word/fontTable.xml><?xml version="1.0" encoding="utf-8"?>
<w:fonts xmlns:r="http://schemas.openxmlformats.org/officeDocument/2006/relationships" xmlns:w="http://schemas.openxmlformats.org/wordprocessingml/2006/main">
  <w:font w:name="Georgia"/>
  <w:font w:name="Times New Roma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p14="http://schemas.microsoft.com/office/word/2010/wordprocessingDrawing" xmlns:wpi="http://schemas.microsoft.com/office/word/2010/wordprocessingInk" xmlns:aink="http://schemas.microsoft.com/office/drawing/2016/ink">
  <w:p w14:paraId="000000A8">
    <w:pPr>
      <w:keepNext w:val="off"/>
      <w:keepLines w:val="off"/>
      <w:pageBreakBefore w:val="off"/>
      <w:widowControl w:val="on"/>
      <w:pBdr>
        <w:top w:val="nil" w:sz="4" w:space="0"/>
        <w:left w:val="nil" w:sz="4" w:space="0"/>
        <w:bottom w:val="nil" w:sz="4" w:space="0"/>
        <w:right w:val="nil" w:sz="4" w:space="0"/>
        <w:between w:val="nil" w:sz="4" w:space="0"/>
      </w:pBdr>
      <w:shd w:val="clear" w:fill="auto"/>
      <w:tabs>
        <w:tab w:val="center" w:leader="none" w:pos="4153"/>
        <w:tab w:val="right" w:leader="none" w:pos="8306"/>
      </w:tabs>
      <w:spacing w:before="0" w:after="0" w:line="259" w:lineRule="auto"/>
      <w:ind w:left="0" w:right="0" w:hanging="2"/>
      <w:jc w:val="left"/>
      <w:rPr>
        <w:rFonts w:ascii="Times New Roman" w:cs="Times New Roman" w:eastAsia="Times New Roman" w:hAnsi="Times New Roman"/>
        <w:b w:val="off"/>
        <w:i w:val="off"/>
        <w:smallCaps w:val="off"/>
        <w:color w:val="000000"/>
        <w:sz w:val="24"/>
        <w:szCs w:val="24"/>
        <w:u w:val="none"/>
        <w:shd w:val="clear" w:fill="auto"/>
        <w:vertAlign w:val="baseline"/>
      </w:rPr>
    </w:pP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p14="http://schemas.microsoft.com/office/word/2010/wordprocessingDrawing" xmlns:wpi="http://schemas.microsoft.com/office/word/2010/wordprocessingInk" xmlns:aink="http://schemas.microsoft.com/office/drawing/2016/ink">
  <w:p w14:paraId="000000A6">
    <w:pPr>
      <w:pBdr>
        <w:top w:val="nil" w:sz="4" w:space="0"/>
        <w:left w:val="nil" w:sz="4" w:space="0"/>
        <w:bottom w:val="nil" w:sz="4" w:space="0"/>
        <w:right w:val="nil" w:sz="4" w:space="0"/>
        <w:between w:val="nil" w:sz="4" w:space="0"/>
      </w:pBdr>
      <w:tabs>
        <w:tab w:val="center" w:leader="none" w:pos="4153"/>
        <w:tab w:val="right" w:leader="none" w:pos="8306"/>
      </w:tabs>
      <w:spacing w:line="240" w:lineRule="auto"/>
      <w:ind w:left="0" w:hanging="2"/>
      <w:jc w:val="center"/>
      <w:rPr>
        <w:color w:val="000000"/>
        <w:sz w:val="23"/>
        <w:szCs w:val="23"/>
      </w:rPr>
    </w:pPr>
    <w:r>
      <w:fldChar w:fldCharType="begin"/>
    </w:r>
    <w:r>
      <w:instrText xml:space="preserve">PAGE</w:instrText>
    </w:r>
    <w:r>
      <w:fldChar w:fldCharType="separate"/>
    </w:r>
    <w:r>
      <w:rPr>
        <w:color w:val="000000"/>
        <w:sz w:val="23"/>
        <w:szCs w:val="23"/>
      </w:rPr>
      <w:fldChar w:fldCharType="end"/>
    </w:r>
  </w:p>
  <w:p w14:paraId="000000A7">
    <w:pPr>
      <w:pBdr>
        <w:top w:val="nil" w:sz="4" w:space="0"/>
        <w:left w:val="nil" w:sz="4" w:space="0"/>
        <w:bottom w:val="nil" w:sz="4" w:space="0"/>
        <w:right w:val="nil" w:sz="4" w:space="0"/>
        <w:between w:val="nil" w:sz="4" w:space="0"/>
      </w:pBdr>
      <w:tabs>
        <w:tab w:val="center" w:leader="none" w:pos="4153"/>
        <w:tab w:val="right" w:leader="none" w:pos="8306"/>
      </w:tabs>
      <w:spacing w:line="240" w:lineRule="auto"/>
      <w:ind w:left="0" w:hanging="2"/>
      <w:rPr>
        <w:color w:val="000000"/>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lvl w:ilvl="0" w:tentative="0">
      <w:start w:val="1"/>
      <w:numFmt w:val="decimal"/>
      <w:lvlText w:val="%1."/>
      <w:lvlJc w:val="left"/>
      <w:pPr>
        <w:ind w:left="360" w:hanging="360"/>
      </w:pPr>
      <w:rPr>
        <w:b/>
        <w:vertAlign w:val="baseline"/>
      </w:rPr>
    </w:lvl>
    <w:lvl w:ilvl="1" w:tentative="0">
      <w:start w:val="2"/>
      <w:numFmt w:val="decimal"/>
      <w:lvlText w:val="%1.%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upperLetter"/>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1">
    <w:lvl w:ilvl="0" w:tentative="0">
      <w:start w:val="4"/>
      <w:numFmt w:val="decimal"/>
      <w:lvlText w:val="%1."/>
      <w:lvlJc w:val="left"/>
      <w:pPr>
        <w:ind w:left="360" w:hanging="360"/>
      </w:pPr>
      <w:rPr>
        <w:vertAlign w:val="baseline"/>
      </w:rPr>
    </w:lvl>
    <w:lvl w:ilvl="1" w:tentative="0">
      <w:start w:val="1"/>
      <w:numFmt w:val="decimal"/>
      <w:lvlText w:val="%1.%2."/>
      <w:lvlJc w:val="left"/>
      <w:pPr>
        <w:ind w:left="1211"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2">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4.%2.%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3">
    <w:lvl w:ilvl="0" w:tentative="0">
      <w:start w:val="2"/>
      <w:numFmt w:val="decimal"/>
      <w:lvlText w:val="%1."/>
      <w:lvlJc w:val="left"/>
      <w:pPr>
        <w:ind w:left="360" w:hanging="360"/>
      </w:pPr>
      <w:rPr>
        <w:vertAlign w:val="baseline"/>
      </w:rPr>
    </w:lvl>
    <w:lvl w:ilvl="1" w:tentative="0">
      <w:start w:val="1"/>
      <w:numFmt w:val="decimal"/>
      <w:lvlText w:val="%1.%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4">
    <w:lvl w:ilvl="0" w:tentative="0">
      <w:start w:val="7"/>
      <w:numFmt w:val="decimal"/>
      <w:lvlText w:val="9."/>
      <w:lvlJc w:val="left"/>
      <w:pPr>
        <w:ind w:left="360" w:hanging="360"/>
      </w:pPr>
      <w:rPr>
        <w:vertAlign w:val="baseline"/>
      </w:rPr>
    </w:lvl>
    <w:lvl w:ilvl="1" w:tentative="0">
      <w:start w:val="1"/>
      <w:numFmt w:val="decimal"/>
      <w:lvlText w:val="8.%2."/>
      <w:lvlJc w:val="left"/>
      <w:pPr>
        <w:ind w:left="360" w:hanging="360"/>
      </w:pPr>
      <w:rPr>
        <w:rFonts w:ascii="Times New Roman" w:cs="Times New Roman" w:eastAsia="Times New Roman" w:hAnsi="Times New Roman"/>
        <w:b w:val="off"/>
        <w:sz w:val="23"/>
        <w:szCs w:val="23"/>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5">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4.2.%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6">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5.%2.%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7">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5.2.%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8">
    <w:lvl w:ilvl="0" w:tentative="0">
      <w:start w:val="8"/>
      <w:numFmt w:val="decimal"/>
      <w:lvlText w:val="%1."/>
      <w:lvlJc w:val="left"/>
      <w:pPr>
        <w:ind w:left="360" w:hanging="360"/>
      </w:pPr>
      <w:rPr>
        <w:vertAlign w:val="baseline"/>
      </w:rPr>
    </w:lvl>
    <w:lvl w:ilvl="1" w:tentative="0">
      <w:start w:val="1"/>
      <w:numFmt w:val="decimal"/>
      <w:lvlText w:val="9.%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9">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2.3.%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10">
    <w:lvl w:ilvl="0" w:tentative="0">
      <w:start w:val="1"/>
      <w:numFmt w:val="decimal"/>
      <w:lvlText w:val="%1."/>
      <w:lvlJc w:val="left"/>
      <w:pPr>
        <w:ind w:left="358" w:hanging="360"/>
      </w:pPr>
      <w:rPr/>
    </w:lvl>
    <w:lvl w:ilvl="1" w:tentative="0">
      <w:start w:val="1"/>
      <w:numFmt w:val="lowerLetter"/>
      <w:lvlText w:val="%2."/>
      <w:lvlJc w:val="left"/>
      <w:pPr>
        <w:ind w:left="1078" w:hanging="360"/>
      </w:pPr>
      <w:rPr/>
    </w:lvl>
    <w:lvl w:ilvl="2" w:tentative="0">
      <w:start w:val="1"/>
      <w:numFmt w:val="lowerRoman"/>
      <w:lvlText w:val="%3."/>
      <w:lvlJc w:val="right"/>
      <w:pPr>
        <w:ind w:left="1798" w:hanging="180"/>
      </w:pPr>
      <w:rPr/>
    </w:lvl>
    <w:lvl w:ilvl="3" w:tentative="0">
      <w:start w:val="1"/>
      <w:numFmt w:val="decimal"/>
      <w:lvlText w:val="%4."/>
      <w:lvlJc w:val="left"/>
      <w:pPr>
        <w:ind w:left="2518" w:hanging="360"/>
      </w:pPr>
      <w:rPr/>
    </w:lvl>
    <w:lvl w:ilvl="4" w:tentative="0">
      <w:start w:val="1"/>
      <w:numFmt w:val="lowerLetter"/>
      <w:lvlText w:val="%5."/>
      <w:lvlJc w:val="left"/>
      <w:pPr>
        <w:ind w:left="3238" w:hanging="360"/>
      </w:pPr>
      <w:rPr/>
    </w:lvl>
    <w:lvl w:ilvl="5" w:tentative="0">
      <w:start w:val="1"/>
      <w:numFmt w:val="lowerRoman"/>
      <w:lvlText w:val="%6."/>
      <w:lvlJc w:val="right"/>
      <w:pPr>
        <w:ind w:left="3958" w:hanging="180"/>
      </w:pPr>
      <w:rPr/>
    </w:lvl>
    <w:lvl w:ilvl="6" w:tentative="0">
      <w:start w:val="1"/>
      <w:numFmt w:val="decimal"/>
      <w:lvlText w:val="%7."/>
      <w:lvlJc w:val="left"/>
      <w:pPr>
        <w:ind w:left="4678" w:hanging="360"/>
      </w:pPr>
      <w:rPr/>
    </w:lvl>
    <w:lvl w:ilvl="7" w:tentative="0">
      <w:start w:val="1"/>
      <w:numFmt w:val="lowerLetter"/>
      <w:lvlText w:val="%8."/>
      <w:lvlJc w:val="left"/>
      <w:pPr>
        <w:ind w:left="5398" w:hanging="360"/>
      </w:pPr>
      <w:rPr/>
    </w:lvl>
    <w:lvl w:ilvl="8" w:tentative="0">
      <w:start w:val="1"/>
      <w:numFmt w:val="lowerRoman"/>
      <w:lvlText w:val="%9."/>
      <w:lvlJc w:val="right"/>
      <w:pPr>
        <w:ind w:left="6118" w:hanging="180"/>
      </w:pPr>
      <w:rPr/>
    </w:lvl>
  </w:abstractNum>
  <w:abstractNum w:abstractNumId="11">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2.4.%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12">
    <w:lvl w:ilvl="0" w:tentative="0">
      <w:start w:val="5"/>
      <w:numFmt w:val="decimal"/>
      <w:lvlText w:val="%1."/>
      <w:lvlJc w:val="left"/>
      <w:pPr>
        <w:ind w:left="360" w:hanging="360"/>
      </w:pPr>
      <w:rPr>
        <w:vertAlign w:val="baseline"/>
      </w:rPr>
    </w:lvl>
    <w:lvl w:ilvl="1" w:tentative="0">
      <w:start w:val="1"/>
      <w:numFmt w:val="decimal"/>
      <w:lvlText w:val="%1.%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13">
    <w:lvl w:ilvl="0" w:tentative="0">
      <w:start w:val="1"/>
      <w:numFmt w:val="decimal"/>
      <w:lvlText w:val="%1."/>
      <w:lvlJc w:val="left"/>
      <w:pPr>
        <w:ind w:left="360" w:hanging="360"/>
      </w:pPr>
      <w:rPr>
        <w:vertAlign w:val="baseline"/>
      </w:rPr>
    </w:lvl>
    <w:lvl w:ilvl="1" w:tentative="0">
      <w:start w:val="1"/>
      <w:numFmt w:val="decimal"/>
      <w:lvlText w:val="%1.%2."/>
      <w:lvlJc w:val="left"/>
      <w:pPr>
        <w:ind w:left="1353" w:hanging="359"/>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14">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4.%2.%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4"/>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15">
    <w:lvl w:ilvl="0" w:tentative="0">
      <w:start w:val="7"/>
      <w:numFmt w:val="decimal"/>
      <w:lvlText w:val="9."/>
      <w:lvlJc w:val="left"/>
      <w:pPr>
        <w:ind w:left="360" w:hanging="360"/>
      </w:pPr>
      <w:rPr>
        <w:vertAlign w:val="baseline"/>
      </w:rPr>
    </w:lvl>
    <w:lvl w:ilvl="1" w:tentative="0">
      <w:start w:val="1"/>
      <w:numFmt w:val="decimal"/>
      <w:lvlText w:val="8.%2."/>
      <w:lvlJc w:val="left"/>
      <w:pPr>
        <w:ind w:left="360" w:hanging="360"/>
      </w:pPr>
      <w:rPr>
        <w:rFonts w:ascii="Times New Roman" w:cs="Times New Roman" w:eastAsia="Times New Roman" w:hAnsi="Times New Roman"/>
        <w:b w:val="off"/>
        <w:sz w:val="23"/>
        <w:szCs w:val="23"/>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16">
    <w:lvl w:ilvl="0" w:tentative="0">
      <w:start w:val="1"/>
      <w:numFmt w:val="decimal"/>
      <w:lvlText w:val="%1."/>
      <w:lvlJc w:val="left"/>
      <w:pPr>
        <w:ind w:left="360" w:hanging="360"/>
      </w:pPr>
      <w:rPr>
        <w:vertAlign w:val="baseline"/>
      </w:rPr>
    </w:lvl>
    <w:lvl w:ilvl="1" w:tentative="0">
      <w:start w:val="1"/>
      <w:numFmt w:val="decimal"/>
      <w:lvlText w:val="%1.%2."/>
      <w:lvlJc w:val="left"/>
      <w:pPr>
        <w:ind w:left="1353" w:hanging="359"/>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sz w:val="24"/>
        <w:szCs w:val="24"/>
        <w:lang w:val="lv-LV"/>
      </w:rPr>
    </w:rPrDefault>
    <w:pPrDefault>
      <w:pPr>
        <w:spacing w:line="259" w:lineRule="auto"/>
        <w:ind w:hanging="1"/>
      </w:pPr>
    </w:pPrDefault>
  </w:docDefaults>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styleId="DefaultParagraphFont">
    <w:name w:val="Default Paragraph Font"/>
    <w:uiPriority w:val="1"/>
    <w:semiHidden w:val="on"/>
    <w:unhideWhenUsed w:val="on"/>
  </w:style>
  <w:style w:type="table"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000ff"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1f497d" w:themeColor="text2"/>
      <w:sz w:val="18"/>
      <w:szCs w:val="18"/>
    </w:rPr>
  </w:style>
  <w:style w:type="paragraph" w:default="1" w:styleId="Normal">
    <w:name w:val="Normal"/>
    <w:uiPriority w:val="99"/>
  </w:style>
  <w:style w:type="table" w:default="1" w:styleId="TableNormal">
    <w:name w:val="Table Normal"/>
    <w:uiPriority w:val="99"/>
  </w:style>
  <w:style w:type="paragraph" w:styleId="Heading1">
    <w:name w:val="Heading 1"/>
    <w:basedOn w:val="Normal"/>
    <w:next w:val="Normal"/>
    <w:uiPriority w:val="99"/>
    <w:pPr>
      <w:keepNext w:val="on"/>
      <w:keepLines w:val="on"/>
      <w:pageBreakBefore w:val="off"/>
      <w:spacing w:before="480" w:after="120"/>
    </w:pPr>
    <w:rPr>
      <w:b/>
      <w:sz w:val="48"/>
      <w:szCs w:val="48"/>
    </w:rPr>
  </w:style>
  <w:style w:type="paragraph" w:styleId="Heading2">
    <w:name w:val="Heading 2"/>
    <w:basedOn w:val="Normal"/>
    <w:next w:val="Normal"/>
    <w:uiPriority w:val="99"/>
    <w:pPr>
      <w:keepNext w:val="on"/>
      <w:keepLines w:val="on"/>
      <w:pageBreakBefore w:val="off"/>
      <w:spacing w:before="360" w:after="80"/>
    </w:pPr>
    <w:rPr>
      <w:b/>
      <w:sz w:val="36"/>
      <w:szCs w:val="36"/>
    </w:rPr>
  </w:style>
  <w:style w:type="paragraph" w:styleId="Heading3">
    <w:name w:val="Heading 3"/>
    <w:basedOn w:val="Normal"/>
    <w:next w:val="Normal"/>
    <w:uiPriority w:val="99"/>
    <w:pPr>
      <w:keepNext w:val="on"/>
      <w:keepLines w:val="on"/>
      <w:pageBreakBefore w:val="off"/>
      <w:spacing w:before="280" w:after="80"/>
    </w:pPr>
    <w:rPr>
      <w:b/>
      <w:sz w:val="28"/>
      <w:szCs w:val="28"/>
    </w:rPr>
  </w:style>
  <w:style w:type="paragraph" w:styleId="Heading4">
    <w:name w:val="Heading 4"/>
    <w:basedOn w:val="Normal"/>
    <w:next w:val="Normal"/>
    <w:uiPriority w:val="99"/>
    <w:pPr>
      <w:keepNext w:val="on"/>
      <w:keepLines w:val="on"/>
      <w:pageBreakBefore w:val="off"/>
      <w:spacing w:before="240" w:after="40"/>
    </w:pPr>
    <w:rPr>
      <w:b/>
      <w:sz w:val="24"/>
      <w:szCs w:val="24"/>
    </w:rPr>
  </w:style>
  <w:style w:type="paragraph" w:styleId="Heading5">
    <w:name w:val="Heading 5"/>
    <w:basedOn w:val="Normal"/>
    <w:next w:val="Normal"/>
    <w:uiPriority w:val="99"/>
    <w:pPr>
      <w:keepNext w:val="on"/>
      <w:keepLines w:val="on"/>
      <w:pageBreakBefore w:val="off"/>
      <w:spacing w:before="220" w:after="40"/>
    </w:pPr>
    <w:rPr>
      <w:b/>
      <w:sz w:val="22"/>
      <w:szCs w:val="22"/>
    </w:rPr>
  </w:style>
  <w:style w:type="paragraph" w:styleId="Heading6">
    <w:name w:val="Heading 6"/>
    <w:basedOn w:val="Normal"/>
    <w:next w:val="Normal"/>
    <w:uiPriority w:val="99"/>
    <w:pPr>
      <w:keepNext w:val="on"/>
      <w:keepLines w:val="on"/>
      <w:pageBreakBefore w:val="off"/>
      <w:spacing w:before="200" w:after="40"/>
    </w:pPr>
    <w:rPr>
      <w:b/>
      <w:sz w:val="20"/>
      <w:szCs w:val="20"/>
    </w:rPr>
  </w:style>
  <w:style w:type="paragraph" w:styleId="Title">
    <w:name w:val="Title"/>
    <w:basedOn w:val="Normal"/>
    <w:next w:val="Normal"/>
    <w:uiPriority w:val="99"/>
    <w:pPr>
      <w:jc w:val="center"/>
    </w:pPr>
    <w:rPr>
      <w:b/>
      <w:color w:val="000000"/>
      <w:sz w:val="22"/>
      <w:szCs w:val="22"/>
    </w:rPr>
  </w:style>
  <w:style w:type="paragraph" w:styleId="Subtitle">
    <w:name w:val="Subtitle"/>
    <w:basedOn w:val="Normal"/>
    <w:next w:val="Normal"/>
    <w:uiPriority w:val="99"/>
    <w:pPr>
      <w:keepNext w:val="on"/>
      <w:keepLines w:val="on"/>
      <w:pageBreakBefore w:val="off"/>
      <w:spacing w:before="360" w:after="80"/>
    </w:pPr>
    <w:rPr>
      <w:rFonts w:ascii="Georgia" w:cs="Georgia" w:eastAsia="Georgia" w:hAnsi="Georgia"/>
      <w:i/>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14" Type="http://schemas.openxmlformats.org/officeDocument/2006/relationships/image" Target="media/image1.png"/><Relationship Id="rId15" Type="http://schemas.openxmlformats.org/officeDocument/2006/relationships/header" Target="header1.xml"/><Relationship Id="rId16" Type="http://schemas.openxmlformats.org/officeDocument/2006/relationships/footer" Target="footer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fsmasters.lv" TargetMode="External"/><Relationship Id="rId7" Type="http://schemas.openxmlformats.org/officeDocument/2006/relationships/hyperlink" Target="mailto:info@lnsc.lv" TargetMode="External"/></Relationships>
</file>

<file path=word/_rels/footer1.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mbria"/>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